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AC2" w:rsidP="6F8CC60A" w:rsidRDefault="001F2604" w14:paraId="2EA03F71" w14:textId="4973F037">
      <w:pPr>
        <w:spacing w:after="0" w:line="240" w:lineRule="auto"/>
        <w:jc w:val="center"/>
        <w:rPr>
          <w:rFonts w:ascii="Aptos Display" w:hAnsi="Aptos Display" w:eastAsia="Aptos Display" w:cs="Aptos Display" w:asciiTheme="majorAscii" w:hAnsiTheme="majorAscii" w:eastAsiaTheme="majorAscii" w:cstheme="majorAscii"/>
          <w:b w:val="1"/>
          <w:bCs w:val="1"/>
          <w:sz w:val="22"/>
          <w:szCs w:val="22"/>
        </w:rPr>
      </w:pPr>
      <w:r w:rsidRPr="6F8CC60A" w:rsidR="29F991FB">
        <w:rPr>
          <w:rFonts w:ascii="Aptos Display" w:hAnsi="Aptos Display" w:eastAsia="Aptos Display" w:cs="Aptos Display" w:asciiTheme="majorAscii" w:hAnsiTheme="majorAscii" w:eastAsiaTheme="majorAscii" w:cstheme="majorAscii"/>
          <w:b w:val="1"/>
          <w:bCs w:val="1"/>
          <w:sz w:val="22"/>
          <w:szCs w:val="22"/>
        </w:rPr>
        <w:t>FORM</w:t>
      </w:r>
      <w:r w:rsidRPr="6F8CC60A" w:rsidR="29F991FB">
        <w:rPr>
          <w:rFonts w:ascii="Aptos Display" w:hAnsi="Aptos Display" w:eastAsia="Aptos Display" w:cs="Aptos Display" w:asciiTheme="majorAscii" w:hAnsiTheme="majorAscii" w:eastAsiaTheme="majorAscii" w:cstheme="majorAscii"/>
          <w:b w:val="1"/>
          <w:bCs w:val="1"/>
          <w:sz w:val="22"/>
          <w:szCs w:val="22"/>
        </w:rPr>
        <w:t xml:space="preserve"> </w:t>
      </w:r>
      <w:r w:rsidRPr="6F8CC60A" w:rsidR="18C9D4B8">
        <w:rPr>
          <w:rFonts w:ascii="Aptos Display" w:hAnsi="Aptos Display" w:eastAsia="Aptos Display" w:cs="Aptos Display" w:asciiTheme="majorAscii" w:hAnsiTheme="majorAscii" w:eastAsiaTheme="majorAscii" w:cstheme="majorAscii"/>
          <w:b w:val="1"/>
          <w:bCs w:val="1"/>
          <w:sz w:val="22"/>
          <w:szCs w:val="22"/>
        </w:rPr>
        <w:t>F</w:t>
      </w:r>
    </w:p>
    <w:p w:rsidRPr="00CE4AC2" w:rsidR="00CE4AC2" w:rsidP="6F8CC60A" w:rsidRDefault="001F2604" w14:paraId="2710C151" w14:textId="2BD63EB7">
      <w:pPr>
        <w:spacing w:after="0" w:line="240" w:lineRule="auto"/>
        <w:jc w:val="center"/>
        <w:rPr>
          <w:rFonts w:ascii="Aptos Display" w:hAnsi="Aptos Display" w:eastAsia="Aptos Display" w:cs="Aptos Display" w:asciiTheme="majorAscii" w:hAnsiTheme="majorAscii" w:eastAsiaTheme="majorAscii" w:cstheme="majorAscii"/>
          <w:b w:val="1"/>
          <w:bCs w:val="1"/>
          <w:sz w:val="22"/>
          <w:szCs w:val="22"/>
        </w:rPr>
      </w:pPr>
      <w:r w:rsidRPr="0CB4761F" w:rsidR="3F80C02C">
        <w:rPr>
          <w:rFonts w:ascii="Aptos Display" w:hAnsi="Aptos Display" w:eastAsia="Aptos Display" w:cs="Aptos Display" w:asciiTheme="majorAscii" w:hAnsiTheme="majorAscii" w:eastAsiaTheme="majorAscii" w:cstheme="majorAscii"/>
          <w:b w:val="1"/>
          <w:bCs w:val="1"/>
          <w:sz w:val="22"/>
          <w:szCs w:val="22"/>
        </w:rPr>
        <w:t xml:space="preserve">FINANCIAL STATEMENT REQUIREMENTS </w:t>
      </w:r>
    </w:p>
    <w:p w:rsidR="00CE4AC2" w:rsidP="6F8CC60A" w:rsidRDefault="00CE4AC2" w14:paraId="0CF4F8F9" w14:textId="77777777">
      <w:pPr>
        <w:pStyle w:val="ListParagraph"/>
        <w:spacing w:after="0" w:line="240" w:lineRule="auto"/>
        <w:ind w:left="340"/>
        <w:rPr>
          <w:rFonts w:ascii="Aptos Display" w:hAnsi="Aptos Display" w:eastAsia="Aptos Display" w:cs="Aptos Display" w:asciiTheme="majorAscii" w:hAnsiTheme="majorAscii" w:eastAsiaTheme="majorAscii" w:cstheme="majorAscii"/>
          <w:sz w:val="22"/>
          <w:szCs w:val="22"/>
        </w:rPr>
      </w:pPr>
    </w:p>
    <w:p w:rsidR="00CE4AC2" w:rsidP="6F8CC60A" w:rsidRDefault="00B47D66" w14:paraId="7F971024" w14:textId="74C01216">
      <w:pPr>
        <w:spacing w:after="0" w:line="240" w:lineRule="auto"/>
        <w:rPr>
          <w:rFonts w:ascii="Aptos Display" w:hAnsi="Aptos Display" w:eastAsia="Aptos Display" w:cs="Aptos Display" w:asciiTheme="majorAscii" w:hAnsiTheme="majorAscii" w:eastAsiaTheme="majorAscii" w:cstheme="majorAscii"/>
          <w:b w:val="1"/>
          <w:bCs w:val="1"/>
          <w:sz w:val="22"/>
          <w:szCs w:val="22"/>
        </w:rPr>
      </w:pPr>
      <w:r w:rsidRPr="6F8CC60A" w:rsidR="199CF4D8">
        <w:rPr>
          <w:rFonts w:ascii="Aptos Display" w:hAnsi="Aptos Display" w:eastAsia="Aptos Display" w:cs="Aptos Display" w:asciiTheme="majorAscii" w:hAnsiTheme="majorAscii" w:eastAsiaTheme="majorAscii" w:cstheme="majorAscii"/>
          <w:b w:val="1"/>
          <w:bCs w:val="1"/>
          <w:sz w:val="22"/>
          <w:szCs w:val="22"/>
        </w:rPr>
        <w:t xml:space="preserve">Financial Capacity </w:t>
      </w:r>
    </w:p>
    <w:p w:rsidR="00CE4AC2" w:rsidP="6F8CC60A" w:rsidRDefault="00CE4AC2" w14:paraId="4D1C4056" w14:textId="77777777">
      <w:pPr>
        <w:spacing w:after="0" w:line="240" w:lineRule="auto"/>
        <w:rPr>
          <w:rFonts w:ascii="Aptos Display" w:hAnsi="Aptos Display" w:eastAsia="Aptos Display" w:cs="Aptos Display" w:asciiTheme="majorAscii" w:hAnsiTheme="majorAscii" w:eastAsiaTheme="majorAscii" w:cstheme="majorAscii"/>
          <w:b w:val="1"/>
          <w:bCs w:val="1"/>
          <w:sz w:val="22"/>
          <w:szCs w:val="22"/>
        </w:rPr>
      </w:pPr>
    </w:p>
    <w:p w:rsidR="00CE4AC2" w:rsidP="6F8CC60A" w:rsidRDefault="00CE4AC2" w14:paraId="0D3391F1" w14:textId="7D79EC4F">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20300ECE">
        <w:rPr>
          <w:rFonts w:ascii="Aptos Display" w:hAnsi="Aptos Display" w:eastAsia="Aptos Display" w:cs="Aptos Display" w:asciiTheme="majorAscii" w:hAnsiTheme="majorAscii" w:eastAsiaTheme="majorAscii" w:cstheme="majorAscii"/>
          <w:sz w:val="22"/>
          <w:szCs w:val="22"/>
        </w:rPr>
        <w:t xml:space="preserve">The University seeks evidence that the Respondent </w:t>
      </w:r>
      <w:r w:rsidRPr="6F8CC60A" w:rsidR="20300ECE">
        <w:rPr>
          <w:rFonts w:ascii="Aptos Display" w:hAnsi="Aptos Display" w:eastAsia="Aptos Display" w:cs="Aptos Display" w:asciiTheme="majorAscii" w:hAnsiTheme="majorAscii" w:eastAsiaTheme="majorAscii" w:cstheme="majorAscii"/>
          <w:sz w:val="22"/>
          <w:szCs w:val="22"/>
        </w:rPr>
        <w:t xml:space="preserve">has the </w:t>
      </w:r>
      <w:r w:rsidRPr="6F8CC60A" w:rsidR="20300ECE">
        <w:rPr>
          <w:rFonts w:ascii="Aptos Display" w:hAnsi="Aptos Display" w:eastAsia="Aptos Display" w:cs="Aptos Display" w:asciiTheme="majorAscii" w:hAnsiTheme="majorAscii" w:eastAsiaTheme="majorAscii" w:cstheme="majorAscii"/>
          <w:sz w:val="22"/>
          <w:szCs w:val="22"/>
        </w:rPr>
        <w:t>appropriate financial</w:t>
      </w:r>
      <w:r w:rsidRPr="6F8CC60A" w:rsidR="20300ECE">
        <w:rPr>
          <w:rFonts w:ascii="Aptos Display" w:hAnsi="Aptos Display" w:eastAsia="Aptos Display" w:cs="Aptos Display" w:asciiTheme="majorAscii" w:hAnsiTheme="majorAscii" w:eastAsiaTheme="majorAscii" w:cstheme="majorAscii"/>
          <w:sz w:val="22"/>
          <w:szCs w:val="22"/>
        </w:rPr>
        <w:t xml:space="preserve"> resources or access to</w:t>
      </w:r>
      <w:r w:rsidRPr="6F8CC60A" w:rsidR="20300ECE">
        <w:rPr>
          <w:rFonts w:ascii="Aptos Display" w:hAnsi="Aptos Display" w:eastAsia="Aptos Display" w:cs="Aptos Display" w:asciiTheme="majorAscii" w:hAnsiTheme="majorAscii" w:eastAsiaTheme="majorAscii" w:cstheme="majorAscii"/>
          <w:sz w:val="22"/>
          <w:szCs w:val="22"/>
        </w:rPr>
        <w:t xml:space="preserve"> </w:t>
      </w:r>
      <w:r w:rsidRPr="6F8CC60A" w:rsidR="20300ECE">
        <w:rPr>
          <w:rFonts w:ascii="Aptos Display" w:hAnsi="Aptos Display" w:eastAsia="Aptos Display" w:cs="Aptos Display" w:asciiTheme="majorAscii" w:hAnsiTheme="majorAscii" w:eastAsiaTheme="majorAscii" w:cstheme="majorAscii"/>
          <w:sz w:val="22"/>
          <w:szCs w:val="22"/>
        </w:rPr>
        <w:t xml:space="preserve">financing sufficient to finance, construct, </w:t>
      </w:r>
      <w:r w:rsidRPr="6F8CC60A" w:rsidR="20300ECE">
        <w:rPr>
          <w:rFonts w:ascii="Aptos Display" w:hAnsi="Aptos Display" w:eastAsia="Aptos Display" w:cs="Aptos Display" w:asciiTheme="majorAscii" w:hAnsiTheme="majorAscii" w:eastAsiaTheme="majorAscii" w:cstheme="majorAscii"/>
          <w:sz w:val="22"/>
          <w:szCs w:val="22"/>
        </w:rPr>
        <w:t>operate</w:t>
      </w:r>
      <w:r w:rsidRPr="6F8CC60A" w:rsidR="20300ECE">
        <w:rPr>
          <w:rFonts w:ascii="Aptos Display" w:hAnsi="Aptos Display" w:eastAsia="Aptos Display" w:cs="Aptos Display" w:asciiTheme="majorAscii" w:hAnsiTheme="majorAscii" w:eastAsiaTheme="majorAscii" w:cstheme="majorAscii"/>
          <w:sz w:val="22"/>
          <w:szCs w:val="22"/>
        </w:rPr>
        <w:t xml:space="preserve">, and </w:t>
      </w:r>
      <w:r w:rsidRPr="6F8CC60A" w:rsidR="20300ECE">
        <w:rPr>
          <w:rFonts w:ascii="Aptos Display" w:hAnsi="Aptos Display" w:eastAsia="Aptos Display" w:cs="Aptos Display" w:asciiTheme="majorAscii" w:hAnsiTheme="majorAscii" w:eastAsiaTheme="majorAscii" w:cstheme="majorAscii"/>
          <w:sz w:val="22"/>
          <w:szCs w:val="22"/>
        </w:rPr>
        <w:t>maintain</w:t>
      </w:r>
      <w:r w:rsidRPr="6F8CC60A" w:rsidR="20300ECE">
        <w:rPr>
          <w:rFonts w:ascii="Aptos Display" w:hAnsi="Aptos Display" w:eastAsia="Aptos Display" w:cs="Aptos Display" w:asciiTheme="majorAscii" w:hAnsiTheme="majorAscii" w:eastAsiaTheme="majorAscii" w:cstheme="majorAscii"/>
          <w:sz w:val="22"/>
          <w:szCs w:val="22"/>
        </w:rPr>
        <w:t xml:space="preserve"> the Project. </w:t>
      </w:r>
      <w:r w:rsidRPr="6F8CC60A" w:rsidR="5AC504B0">
        <w:rPr>
          <w:rFonts w:ascii="Aptos Display" w:hAnsi="Aptos Display" w:eastAsia="Aptos Display" w:cs="Aptos Display" w:asciiTheme="majorAscii" w:hAnsiTheme="majorAscii" w:eastAsiaTheme="majorAscii" w:cstheme="majorAscii"/>
          <w:sz w:val="22"/>
          <w:szCs w:val="22"/>
        </w:rPr>
        <w:t xml:space="preserve">The SOQ shall include the following information to </w:t>
      </w:r>
      <w:r w:rsidRPr="6F8CC60A" w:rsidR="5AC504B0">
        <w:rPr>
          <w:rFonts w:ascii="Aptos Display" w:hAnsi="Aptos Display" w:eastAsia="Aptos Display" w:cs="Aptos Display" w:asciiTheme="majorAscii" w:hAnsiTheme="majorAscii" w:eastAsiaTheme="majorAscii" w:cstheme="majorAscii"/>
          <w:sz w:val="22"/>
          <w:szCs w:val="22"/>
        </w:rPr>
        <w:t>demonstrate</w:t>
      </w:r>
      <w:r w:rsidRPr="6F8CC60A" w:rsidR="5AC504B0">
        <w:rPr>
          <w:rFonts w:ascii="Aptos Display" w:hAnsi="Aptos Display" w:eastAsia="Aptos Display" w:cs="Aptos Display" w:asciiTheme="majorAscii" w:hAnsiTheme="majorAscii" w:eastAsiaTheme="majorAscii" w:cstheme="majorAscii"/>
          <w:sz w:val="22"/>
          <w:szCs w:val="22"/>
        </w:rPr>
        <w:t xml:space="preserve"> the Respondent’s financial capacity to undertake the Project: </w:t>
      </w:r>
    </w:p>
    <w:p w:rsidR="00CE4AC2" w:rsidP="6F8CC60A" w:rsidRDefault="00CE4AC2" w14:paraId="5E0AE103" w14:textId="77777777">
      <w:pPr>
        <w:spacing w:after="0" w:line="240" w:lineRule="auto"/>
        <w:rPr>
          <w:rFonts w:ascii="Aptos Display" w:hAnsi="Aptos Display" w:eastAsia="Aptos Display" w:cs="Aptos Display" w:asciiTheme="majorAscii" w:hAnsiTheme="majorAscii" w:eastAsiaTheme="majorAscii" w:cstheme="majorAscii"/>
          <w:b w:val="1"/>
          <w:bCs w:val="1"/>
          <w:sz w:val="22"/>
          <w:szCs w:val="22"/>
        </w:rPr>
      </w:pPr>
    </w:p>
    <w:p w:rsidRPr="009C383A" w:rsidR="00B47D66" w:rsidP="6F8CC60A" w:rsidRDefault="009C383A" w14:paraId="217E42A2" w14:textId="1545653D">
      <w:pPr>
        <w:spacing w:after="0" w:line="240" w:lineRule="auto"/>
        <w:rPr>
          <w:rFonts w:ascii="Aptos Display" w:hAnsi="Aptos Display" w:eastAsia="Aptos Display" w:cs="Aptos Display" w:asciiTheme="majorAscii" w:hAnsiTheme="majorAscii" w:eastAsiaTheme="majorAscii" w:cstheme="majorAscii"/>
          <w:b w:val="1"/>
          <w:bCs w:val="1"/>
          <w:sz w:val="22"/>
          <w:szCs w:val="22"/>
        </w:rPr>
      </w:pPr>
      <w:r w:rsidRPr="6F8CC60A" w:rsidR="43007D29">
        <w:rPr>
          <w:rFonts w:ascii="Aptos Display" w:hAnsi="Aptos Display" w:eastAsia="Aptos Display" w:cs="Aptos Display" w:asciiTheme="majorAscii" w:hAnsiTheme="majorAscii" w:eastAsiaTheme="majorAscii" w:cstheme="majorAscii"/>
          <w:b w:val="1"/>
          <w:bCs w:val="1"/>
          <w:sz w:val="22"/>
          <w:szCs w:val="22"/>
        </w:rPr>
        <w:t xml:space="preserve">Financial Statement Requirements </w:t>
      </w:r>
    </w:p>
    <w:p w:rsidR="009C383A" w:rsidP="6F8CC60A" w:rsidRDefault="009C383A" w14:paraId="7DEE3A23"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00CE4AC2" w:rsidP="6F8CC60A" w:rsidRDefault="00422F3C" w14:paraId="6E8808A0" w14:textId="05290CE9">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5AC504B0">
        <w:rPr>
          <w:rFonts w:ascii="Aptos Display" w:hAnsi="Aptos Display" w:eastAsia="Aptos Display" w:cs="Aptos Display" w:asciiTheme="majorAscii" w:hAnsiTheme="majorAscii" w:eastAsiaTheme="majorAscii" w:cstheme="majorAscii"/>
          <w:sz w:val="22"/>
          <w:szCs w:val="22"/>
        </w:rPr>
        <w:t xml:space="preserve">An unencrypted, electronic copy that is not password-protected, in fully searchable PDF format, of the financial statements for the Respondent (if applicable), each </w:t>
      </w:r>
      <w:r w:rsidRPr="6F8CC60A" w:rsidR="2F5AC664">
        <w:rPr>
          <w:rFonts w:ascii="Aptos Display" w:hAnsi="Aptos Display" w:eastAsia="Aptos Display" w:cs="Aptos Display" w:asciiTheme="majorAscii" w:hAnsiTheme="majorAscii" w:eastAsiaTheme="majorAscii" w:cstheme="majorAscii"/>
          <w:sz w:val="22"/>
          <w:szCs w:val="22"/>
        </w:rPr>
        <w:t>e</w:t>
      </w:r>
      <w:r w:rsidRPr="6F8CC60A" w:rsidR="5AC504B0">
        <w:rPr>
          <w:rFonts w:ascii="Aptos Display" w:hAnsi="Aptos Display" w:eastAsia="Aptos Display" w:cs="Aptos Display" w:asciiTheme="majorAscii" w:hAnsiTheme="majorAscii" w:eastAsiaTheme="majorAscii" w:cstheme="majorAscii"/>
          <w:sz w:val="22"/>
          <w:szCs w:val="22"/>
        </w:rPr>
        <w:t xml:space="preserve">quity </w:t>
      </w:r>
      <w:r w:rsidRPr="6F8CC60A" w:rsidR="2F5AC664">
        <w:rPr>
          <w:rFonts w:ascii="Aptos Display" w:hAnsi="Aptos Display" w:eastAsia="Aptos Display" w:cs="Aptos Display" w:asciiTheme="majorAscii" w:hAnsiTheme="majorAscii" w:eastAsiaTheme="majorAscii" w:cstheme="majorAscii"/>
          <w:sz w:val="22"/>
          <w:szCs w:val="22"/>
        </w:rPr>
        <w:t>m</w:t>
      </w:r>
      <w:r w:rsidRPr="6F8CC60A" w:rsidR="5AC504B0">
        <w:rPr>
          <w:rFonts w:ascii="Aptos Display" w:hAnsi="Aptos Display" w:eastAsia="Aptos Display" w:cs="Aptos Display" w:asciiTheme="majorAscii" w:hAnsiTheme="majorAscii" w:eastAsiaTheme="majorAscii" w:cstheme="majorAscii"/>
          <w:sz w:val="22"/>
          <w:szCs w:val="22"/>
        </w:rPr>
        <w:t xml:space="preserve">ember, the </w:t>
      </w:r>
      <w:r w:rsidRPr="6F8CC60A" w:rsidR="2F5AC664">
        <w:rPr>
          <w:rFonts w:ascii="Aptos Display" w:hAnsi="Aptos Display" w:eastAsia="Aptos Display" w:cs="Aptos Display" w:asciiTheme="majorAscii" w:hAnsiTheme="majorAscii" w:eastAsiaTheme="majorAscii" w:cstheme="majorAscii"/>
          <w:sz w:val="22"/>
          <w:szCs w:val="22"/>
        </w:rPr>
        <w:t>l</w:t>
      </w:r>
      <w:r w:rsidRPr="6F8CC60A" w:rsidR="5AC504B0">
        <w:rPr>
          <w:rFonts w:ascii="Aptos Display" w:hAnsi="Aptos Display" w:eastAsia="Aptos Display" w:cs="Aptos Display" w:asciiTheme="majorAscii" w:hAnsiTheme="majorAscii" w:eastAsiaTheme="majorAscii" w:cstheme="majorAscii"/>
          <w:sz w:val="22"/>
          <w:szCs w:val="22"/>
        </w:rPr>
        <w:t xml:space="preserve">ead </w:t>
      </w:r>
      <w:r w:rsidRPr="6F8CC60A" w:rsidR="2F5AC664">
        <w:rPr>
          <w:rFonts w:ascii="Aptos Display" w:hAnsi="Aptos Display" w:eastAsia="Aptos Display" w:cs="Aptos Display" w:asciiTheme="majorAscii" w:hAnsiTheme="majorAscii" w:eastAsiaTheme="majorAscii" w:cstheme="majorAscii"/>
          <w:sz w:val="22"/>
          <w:szCs w:val="22"/>
        </w:rPr>
        <w:t>c</w:t>
      </w:r>
      <w:r w:rsidRPr="6F8CC60A" w:rsidR="5AC504B0">
        <w:rPr>
          <w:rFonts w:ascii="Aptos Display" w:hAnsi="Aptos Display" w:eastAsia="Aptos Display" w:cs="Aptos Display" w:asciiTheme="majorAscii" w:hAnsiTheme="majorAscii" w:eastAsiaTheme="majorAscii" w:cstheme="majorAscii"/>
          <w:sz w:val="22"/>
          <w:szCs w:val="22"/>
        </w:rPr>
        <w:t xml:space="preserve">onstruction </w:t>
      </w:r>
      <w:r w:rsidRPr="6F8CC60A" w:rsidR="784E0EEE">
        <w:rPr>
          <w:rFonts w:ascii="Aptos Display" w:hAnsi="Aptos Display" w:eastAsia="Aptos Display" w:cs="Aptos Display" w:asciiTheme="majorAscii" w:hAnsiTheme="majorAscii" w:eastAsiaTheme="majorAscii" w:cstheme="majorAscii"/>
          <w:sz w:val="22"/>
          <w:szCs w:val="22"/>
        </w:rPr>
        <w:t>c</w:t>
      </w:r>
      <w:r w:rsidRPr="6F8CC60A" w:rsidR="5AC504B0">
        <w:rPr>
          <w:rFonts w:ascii="Aptos Display" w:hAnsi="Aptos Display" w:eastAsia="Aptos Display" w:cs="Aptos Display" w:asciiTheme="majorAscii" w:hAnsiTheme="majorAscii" w:eastAsiaTheme="majorAscii" w:cstheme="majorAscii"/>
          <w:sz w:val="22"/>
          <w:szCs w:val="22"/>
        </w:rPr>
        <w:t>ontractor,</w:t>
      </w:r>
      <w:r w:rsidRPr="6F8CC60A" w:rsidR="784E0EEE">
        <w:rPr>
          <w:rFonts w:ascii="Aptos Display" w:hAnsi="Aptos Display" w:eastAsia="Aptos Display" w:cs="Aptos Display" w:asciiTheme="majorAscii" w:hAnsiTheme="majorAscii" w:eastAsiaTheme="majorAscii" w:cstheme="majorAscii"/>
          <w:sz w:val="22"/>
          <w:szCs w:val="22"/>
        </w:rPr>
        <w:t xml:space="preserve"> lead O&amp;M contractor</w:t>
      </w:r>
      <w:r w:rsidRPr="6F8CC60A" w:rsidR="5AC504B0">
        <w:rPr>
          <w:rFonts w:ascii="Aptos Display" w:hAnsi="Aptos Display" w:eastAsia="Aptos Display" w:cs="Aptos Display" w:asciiTheme="majorAscii" w:hAnsiTheme="majorAscii" w:eastAsiaTheme="majorAscii" w:cstheme="majorAscii"/>
          <w:sz w:val="22"/>
          <w:szCs w:val="22"/>
        </w:rPr>
        <w:t xml:space="preserve"> and each </w:t>
      </w:r>
      <w:r w:rsidRPr="6F8CC60A" w:rsidR="01AB588C">
        <w:rPr>
          <w:rFonts w:ascii="Aptos Display" w:hAnsi="Aptos Display" w:eastAsia="Aptos Display" w:cs="Aptos Display" w:asciiTheme="majorAscii" w:hAnsiTheme="majorAscii" w:eastAsiaTheme="majorAscii" w:cstheme="majorAscii"/>
          <w:sz w:val="22"/>
          <w:szCs w:val="22"/>
        </w:rPr>
        <w:t xml:space="preserve">additional </w:t>
      </w:r>
      <w:r w:rsidRPr="6F8CC60A" w:rsidR="5AC504B0">
        <w:rPr>
          <w:rFonts w:ascii="Aptos Display" w:hAnsi="Aptos Display" w:eastAsia="Aptos Display" w:cs="Aptos Display" w:asciiTheme="majorAscii" w:hAnsiTheme="majorAscii" w:eastAsiaTheme="majorAscii" w:cstheme="majorAscii"/>
          <w:sz w:val="22"/>
          <w:szCs w:val="22"/>
        </w:rPr>
        <w:t xml:space="preserve">Financially Responsible Party (if any) for the three most recently completed fiscal years; provided that Respondents may elect to submit financial statements in an encrypted (password protected) format, provided that no non-standard </w:t>
      </w:r>
      <w:r w:rsidRPr="6F8CC60A" w:rsidR="5AC504B0">
        <w:rPr>
          <w:rFonts w:ascii="Aptos Display" w:hAnsi="Aptos Display" w:eastAsia="Aptos Display" w:cs="Aptos Display" w:asciiTheme="majorAscii" w:hAnsiTheme="majorAscii" w:eastAsiaTheme="majorAscii" w:cstheme="majorAscii"/>
          <w:sz w:val="22"/>
          <w:szCs w:val="22"/>
        </w:rPr>
        <w:t>software is required to access the financial statements and the Respondent must inform the Procurement Contact via</w:t>
      </w:r>
      <w:r w:rsidRPr="6F8CC60A" w:rsidR="5AC504B0">
        <w:rPr>
          <w:rFonts w:ascii="Aptos Display" w:hAnsi="Aptos Display" w:eastAsia="Aptos Display" w:cs="Aptos Display" w:asciiTheme="majorAscii" w:hAnsiTheme="majorAscii" w:eastAsiaTheme="majorAscii" w:cstheme="majorAscii"/>
          <w:sz w:val="22"/>
          <w:szCs w:val="22"/>
        </w:rPr>
        <w:t xml:space="preserve"> e-mail with the password for the financial statements.</w:t>
      </w:r>
    </w:p>
    <w:p w:rsidRPr="00422F3C" w:rsidR="00422F3C" w:rsidP="6F8CC60A" w:rsidRDefault="00422F3C" w14:paraId="4432151A"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00422F3C" w:rsidP="6F8CC60A" w:rsidRDefault="00422F3C" w14:paraId="0AAEAFDC" w14:textId="40E9909C">
      <w:pPr>
        <w:spacing w:after="0" w:line="240" w:lineRule="auto"/>
        <w:rPr>
          <w:rFonts w:ascii="Aptos Display" w:hAnsi="Aptos Display" w:eastAsia="Aptos Display" w:cs="Aptos Display" w:asciiTheme="majorAscii" w:hAnsiTheme="majorAscii" w:eastAsiaTheme="majorAscii" w:cstheme="majorAscii"/>
          <w:i w:val="1"/>
          <w:iCs w:val="1"/>
          <w:sz w:val="22"/>
          <w:szCs w:val="22"/>
        </w:rPr>
      </w:pPr>
      <w:r w:rsidRPr="6F8CC60A" w:rsidR="5AC504B0">
        <w:rPr>
          <w:rFonts w:ascii="Aptos Display" w:hAnsi="Aptos Display" w:eastAsia="Aptos Display" w:cs="Aptos Display" w:asciiTheme="majorAscii" w:hAnsiTheme="majorAscii" w:eastAsiaTheme="majorAscii" w:cstheme="majorAscii"/>
          <w:i w:val="1"/>
          <w:iCs w:val="1"/>
          <w:sz w:val="22"/>
          <w:szCs w:val="22"/>
        </w:rPr>
        <w:t>Minimum</w:t>
      </w:r>
      <w:r w:rsidRPr="6F8CC60A" w:rsidR="5AC504B0">
        <w:rPr>
          <w:rFonts w:ascii="Aptos Display" w:hAnsi="Aptos Display" w:eastAsia="Aptos Display" w:cs="Aptos Display" w:asciiTheme="majorAscii" w:hAnsiTheme="majorAscii" w:eastAsiaTheme="majorAscii" w:cstheme="majorAscii"/>
          <w:i w:val="1"/>
          <w:iCs w:val="1"/>
          <w:sz w:val="22"/>
          <w:szCs w:val="22"/>
        </w:rPr>
        <w:t xml:space="preserve"> Requirements</w:t>
      </w:r>
    </w:p>
    <w:p w:rsidR="00422F3C" w:rsidP="6F8CC60A" w:rsidRDefault="00422F3C" w14:paraId="2C58CD46" w14:textId="77777777">
      <w:pPr>
        <w:spacing w:after="0" w:line="240" w:lineRule="auto"/>
        <w:rPr>
          <w:rFonts w:ascii="Aptos Display" w:hAnsi="Aptos Display" w:eastAsia="Aptos Display" w:cs="Aptos Display" w:asciiTheme="majorAscii" w:hAnsiTheme="majorAscii" w:eastAsiaTheme="majorAscii" w:cstheme="majorAscii"/>
          <w:i w:val="1"/>
          <w:iCs w:val="1"/>
          <w:sz w:val="22"/>
          <w:szCs w:val="22"/>
        </w:rPr>
      </w:pPr>
    </w:p>
    <w:p w:rsidRPr="00422F3C" w:rsidR="00422F3C" w:rsidP="6F8CC60A" w:rsidRDefault="00422F3C" w14:paraId="3CC464F2" w14:textId="6A9D3721">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5AC504B0">
        <w:rPr>
          <w:rFonts w:ascii="Aptos Display" w:hAnsi="Aptos Display" w:eastAsia="Aptos Display" w:cs="Aptos Display" w:asciiTheme="majorAscii" w:hAnsiTheme="majorAscii" w:eastAsiaTheme="majorAscii" w:cstheme="majorAscii"/>
          <w:sz w:val="22"/>
          <w:szCs w:val="22"/>
        </w:rPr>
        <w:t xml:space="preserve">Each financial statement must meet the following: </w:t>
      </w:r>
    </w:p>
    <w:p w:rsidR="00422F3C" w:rsidP="6F8CC60A" w:rsidRDefault="00422F3C" w14:paraId="1C12F05C" w14:textId="77777777">
      <w:pPr>
        <w:pStyle w:val="ListParagraph"/>
        <w:numPr>
          <w:ilvl w:val="0"/>
          <w:numId w:val="6"/>
        </w:num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5AC504B0">
        <w:rPr>
          <w:rFonts w:ascii="Aptos Display" w:hAnsi="Aptos Display" w:eastAsia="Aptos Display" w:cs="Aptos Display" w:asciiTheme="majorAscii" w:hAnsiTheme="majorAscii" w:eastAsiaTheme="majorAscii" w:cstheme="majorAscii"/>
          <w:sz w:val="22"/>
          <w:szCs w:val="22"/>
          <w:u w:val="single"/>
        </w:rPr>
        <w:t>GAAP/IFRS</w:t>
      </w:r>
      <w:r w:rsidRPr="6F8CC60A" w:rsidR="5AC504B0">
        <w:rPr>
          <w:rFonts w:ascii="Aptos Display" w:hAnsi="Aptos Display" w:eastAsia="Aptos Display" w:cs="Aptos Display" w:asciiTheme="majorAscii" w:hAnsiTheme="majorAscii" w:eastAsiaTheme="majorAscii" w:cstheme="majorAscii"/>
          <w:sz w:val="22"/>
          <w:szCs w:val="22"/>
        </w:rPr>
        <w:t xml:space="preserve">: Financial statements must be prepared </w:t>
      </w:r>
      <w:r w:rsidRPr="6F8CC60A" w:rsidR="5AC504B0">
        <w:rPr>
          <w:rFonts w:ascii="Aptos Display" w:hAnsi="Aptos Display" w:eastAsia="Aptos Display" w:cs="Aptos Display" w:asciiTheme="majorAscii" w:hAnsiTheme="majorAscii" w:eastAsiaTheme="majorAscii" w:cstheme="majorAscii"/>
          <w:sz w:val="22"/>
          <w:szCs w:val="22"/>
        </w:rPr>
        <w:t>in accordance with</w:t>
      </w:r>
      <w:r w:rsidRPr="6F8CC60A" w:rsidR="5AC504B0">
        <w:rPr>
          <w:rFonts w:ascii="Aptos Display" w:hAnsi="Aptos Display" w:eastAsia="Aptos Display" w:cs="Aptos Display" w:asciiTheme="majorAscii" w:hAnsiTheme="majorAscii" w:eastAsiaTheme="majorAscii" w:cstheme="majorAscii"/>
          <w:sz w:val="22"/>
          <w:szCs w:val="22"/>
        </w:rPr>
        <w:t xml:space="preserve"> U.S. GAAP or IFRS. If financial statements are prepared </w:t>
      </w:r>
      <w:r w:rsidRPr="6F8CC60A" w:rsidR="5AC504B0">
        <w:rPr>
          <w:rFonts w:ascii="Aptos Display" w:hAnsi="Aptos Display" w:eastAsia="Aptos Display" w:cs="Aptos Display" w:asciiTheme="majorAscii" w:hAnsiTheme="majorAscii" w:eastAsiaTheme="majorAscii" w:cstheme="majorAscii"/>
          <w:sz w:val="22"/>
          <w:szCs w:val="22"/>
        </w:rPr>
        <w:t>in accordance with</w:t>
      </w:r>
      <w:r w:rsidRPr="6F8CC60A" w:rsidR="5AC504B0">
        <w:rPr>
          <w:rFonts w:ascii="Aptos Display" w:hAnsi="Aptos Display" w:eastAsia="Aptos Display" w:cs="Aptos Display" w:asciiTheme="majorAscii" w:hAnsiTheme="majorAscii" w:eastAsiaTheme="majorAscii" w:cstheme="majorAscii"/>
          <w:sz w:val="22"/>
          <w:szCs w:val="22"/>
        </w:rPr>
        <w:t xml:space="preserve"> principles other than U.S. GAAP or IFRS, a letter must be provided from a certified public accountant discussing the areas of the financial statements that would be affected by a conversion to U.S. GAAP or IFRS. A restatement of the financial information </w:t>
      </w:r>
      <w:r w:rsidRPr="6F8CC60A" w:rsidR="5AC504B0">
        <w:rPr>
          <w:rFonts w:ascii="Aptos Display" w:hAnsi="Aptos Display" w:eastAsia="Aptos Display" w:cs="Aptos Display" w:asciiTheme="majorAscii" w:hAnsiTheme="majorAscii" w:eastAsiaTheme="majorAscii" w:cstheme="majorAscii"/>
          <w:sz w:val="22"/>
          <w:szCs w:val="22"/>
        </w:rPr>
        <w:t>in accordance with</w:t>
      </w:r>
      <w:r w:rsidRPr="6F8CC60A" w:rsidR="5AC504B0">
        <w:rPr>
          <w:rFonts w:ascii="Aptos Display" w:hAnsi="Aptos Display" w:eastAsia="Aptos Display" w:cs="Aptos Display" w:asciiTheme="majorAscii" w:hAnsiTheme="majorAscii" w:eastAsiaTheme="majorAscii" w:cstheme="majorAscii"/>
          <w:sz w:val="22"/>
          <w:szCs w:val="22"/>
        </w:rPr>
        <w:t xml:space="preserve"> U.S. GAAP or IFRS is not </w:t>
      </w:r>
      <w:r w:rsidRPr="6F8CC60A" w:rsidR="5AC504B0">
        <w:rPr>
          <w:rFonts w:ascii="Aptos Display" w:hAnsi="Aptos Display" w:eastAsia="Aptos Display" w:cs="Aptos Display" w:asciiTheme="majorAscii" w:hAnsiTheme="majorAscii" w:eastAsiaTheme="majorAscii" w:cstheme="majorAscii"/>
          <w:sz w:val="22"/>
          <w:szCs w:val="22"/>
        </w:rPr>
        <w:t>required</w:t>
      </w:r>
      <w:r w:rsidRPr="6F8CC60A" w:rsidR="5AC504B0">
        <w:rPr>
          <w:rFonts w:ascii="Aptos Display" w:hAnsi="Aptos Display" w:eastAsia="Aptos Display" w:cs="Aptos Display" w:asciiTheme="majorAscii" w:hAnsiTheme="majorAscii" w:eastAsiaTheme="majorAscii" w:cstheme="majorAscii"/>
          <w:sz w:val="22"/>
          <w:szCs w:val="22"/>
        </w:rPr>
        <w:t>;</w:t>
      </w:r>
      <w:r w:rsidRPr="6F8CC60A" w:rsidR="5AC504B0">
        <w:rPr>
          <w:rFonts w:ascii="Aptos Display" w:hAnsi="Aptos Display" w:eastAsia="Aptos Display" w:cs="Aptos Display" w:asciiTheme="majorAscii" w:hAnsiTheme="majorAscii" w:eastAsiaTheme="majorAscii" w:cstheme="majorAscii"/>
          <w:sz w:val="22"/>
          <w:szCs w:val="22"/>
        </w:rPr>
        <w:t xml:space="preserve"> </w:t>
      </w:r>
    </w:p>
    <w:p w:rsidR="00422F3C" w:rsidP="6F8CC60A" w:rsidRDefault="00422F3C" w14:paraId="30FC7FB3" w14:textId="77777777">
      <w:pPr>
        <w:pStyle w:val="ListParagraph"/>
        <w:numPr>
          <w:ilvl w:val="0"/>
          <w:numId w:val="6"/>
        </w:num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5AC504B0">
        <w:rPr>
          <w:rFonts w:ascii="Aptos Display" w:hAnsi="Aptos Display" w:eastAsia="Aptos Display" w:cs="Aptos Display" w:asciiTheme="majorAscii" w:hAnsiTheme="majorAscii" w:eastAsiaTheme="majorAscii" w:cstheme="majorAscii"/>
          <w:sz w:val="22"/>
          <w:szCs w:val="22"/>
          <w:u w:val="single"/>
        </w:rPr>
        <w:t>U.S. Dollars</w:t>
      </w:r>
      <w:r w:rsidRPr="6F8CC60A" w:rsidR="5AC504B0">
        <w:rPr>
          <w:rFonts w:ascii="Aptos Display" w:hAnsi="Aptos Display" w:eastAsia="Aptos Display" w:cs="Aptos Display" w:asciiTheme="majorAscii" w:hAnsiTheme="majorAscii" w:eastAsiaTheme="majorAscii" w:cstheme="majorAscii"/>
          <w:sz w:val="22"/>
          <w:szCs w:val="22"/>
        </w:rPr>
        <w:t xml:space="preserve">: Financial statements must be provided in U.S. dollars if available. If financial statements are not available in U.S. dollars, the Respondent must include summaries of the income statements, balance sheets and statement of cash flow for the applicable time periods converted to U.S. dollars with an explanation as to how they were converted, including date, value and source of exchange </w:t>
      </w:r>
      <w:r w:rsidRPr="6F8CC60A" w:rsidR="5AC504B0">
        <w:rPr>
          <w:rFonts w:ascii="Aptos Display" w:hAnsi="Aptos Display" w:eastAsia="Aptos Display" w:cs="Aptos Display" w:asciiTheme="majorAscii" w:hAnsiTheme="majorAscii" w:eastAsiaTheme="majorAscii" w:cstheme="majorAscii"/>
          <w:sz w:val="22"/>
          <w:szCs w:val="22"/>
        </w:rPr>
        <w:t>rates;</w:t>
      </w:r>
      <w:r w:rsidRPr="6F8CC60A" w:rsidR="5AC504B0">
        <w:rPr>
          <w:rFonts w:ascii="Aptos Display" w:hAnsi="Aptos Display" w:eastAsia="Aptos Display" w:cs="Aptos Display" w:asciiTheme="majorAscii" w:hAnsiTheme="majorAscii" w:eastAsiaTheme="majorAscii" w:cstheme="majorAscii"/>
          <w:sz w:val="22"/>
          <w:szCs w:val="22"/>
        </w:rPr>
        <w:t xml:space="preserve"> </w:t>
      </w:r>
    </w:p>
    <w:p w:rsidR="00422F3C" w:rsidP="6F8CC60A" w:rsidRDefault="00422F3C" w14:paraId="3511A697" w14:textId="77777777">
      <w:pPr>
        <w:pStyle w:val="ListParagraph"/>
        <w:numPr>
          <w:ilvl w:val="0"/>
          <w:numId w:val="6"/>
        </w:num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5AC504B0">
        <w:rPr>
          <w:rFonts w:ascii="Aptos Display" w:hAnsi="Aptos Display" w:eastAsia="Aptos Display" w:cs="Aptos Display" w:asciiTheme="majorAscii" w:hAnsiTheme="majorAscii" w:eastAsiaTheme="majorAscii" w:cstheme="majorAscii"/>
          <w:sz w:val="22"/>
          <w:szCs w:val="22"/>
          <w:u w:val="single"/>
        </w:rPr>
        <w:t>Audited</w:t>
      </w:r>
      <w:r w:rsidRPr="6F8CC60A" w:rsidR="5AC504B0">
        <w:rPr>
          <w:rFonts w:ascii="Aptos Display" w:hAnsi="Aptos Display" w:eastAsia="Aptos Display" w:cs="Aptos Display" w:asciiTheme="majorAscii" w:hAnsiTheme="majorAscii" w:eastAsiaTheme="majorAscii" w:cstheme="majorAscii"/>
          <w:sz w:val="22"/>
          <w:szCs w:val="22"/>
        </w:rPr>
        <w:t xml:space="preserve">: Financial statements must be audited by an independent party qualified to </w:t>
      </w:r>
      <w:r w:rsidRPr="6F8CC60A" w:rsidR="5AC504B0">
        <w:rPr>
          <w:rFonts w:ascii="Aptos Display" w:hAnsi="Aptos Display" w:eastAsia="Aptos Display" w:cs="Aptos Display" w:asciiTheme="majorAscii" w:hAnsiTheme="majorAscii" w:eastAsiaTheme="majorAscii" w:cstheme="majorAscii"/>
          <w:sz w:val="22"/>
          <w:szCs w:val="22"/>
        </w:rPr>
        <w:t>render</w:t>
      </w:r>
      <w:r w:rsidRPr="6F8CC60A" w:rsidR="5AC504B0">
        <w:rPr>
          <w:rFonts w:ascii="Aptos Display" w:hAnsi="Aptos Display" w:eastAsia="Aptos Display" w:cs="Aptos Display" w:asciiTheme="majorAscii" w:hAnsiTheme="majorAscii" w:eastAsiaTheme="majorAscii" w:cstheme="majorAscii"/>
          <w:sz w:val="22"/>
          <w:szCs w:val="22"/>
        </w:rPr>
        <w:t xml:space="preserve"> audit opinions (e.g., a certified public accountant). If audited financial statements are not available for an entity, the SOQ must include unaudited financial statements for such entity, certified as true, </w:t>
      </w:r>
      <w:r w:rsidRPr="6F8CC60A" w:rsidR="5AC504B0">
        <w:rPr>
          <w:rFonts w:ascii="Aptos Display" w:hAnsi="Aptos Display" w:eastAsia="Aptos Display" w:cs="Aptos Display" w:asciiTheme="majorAscii" w:hAnsiTheme="majorAscii" w:eastAsiaTheme="majorAscii" w:cstheme="majorAscii"/>
          <w:sz w:val="22"/>
          <w:szCs w:val="22"/>
        </w:rPr>
        <w:t>correct</w:t>
      </w:r>
      <w:r w:rsidRPr="6F8CC60A" w:rsidR="5AC504B0">
        <w:rPr>
          <w:rFonts w:ascii="Aptos Display" w:hAnsi="Aptos Display" w:eastAsia="Aptos Display" w:cs="Aptos Display" w:asciiTheme="majorAscii" w:hAnsiTheme="majorAscii" w:eastAsiaTheme="majorAscii" w:cstheme="majorAscii"/>
          <w:sz w:val="22"/>
          <w:szCs w:val="22"/>
        </w:rPr>
        <w:t xml:space="preserve"> and </w:t>
      </w:r>
      <w:r w:rsidRPr="6F8CC60A" w:rsidR="5AC504B0">
        <w:rPr>
          <w:rFonts w:ascii="Aptos Display" w:hAnsi="Aptos Display" w:eastAsia="Aptos Display" w:cs="Aptos Display" w:asciiTheme="majorAscii" w:hAnsiTheme="majorAscii" w:eastAsiaTheme="majorAscii" w:cstheme="majorAscii"/>
          <w:sz w:val="22"/>
          <w:szCs w:val="22"/>
        </w:rPr>
        <w:t>accurate</w:t>
      </w:r>
      <w:r w:rsidRPr="6F8CC60A" w:rsidR="5AC504B0">
        <w:rPr>
          <w:rFonts w:ascii="Aptos Display" w:hAnsi="Aptos Display" w:eastAsia="Aptos Display" w:cs="Aptos Display" w:asciiTheme="majorAscii" w:hAnsiTheme="majorAscii" w:eastAsiaTheme="majorAscii" w:cstheme="majorAscii"/>
          <w:sz w:val="22"/>
          <w:szCs w:val="22"/>
        </w:rPr>
        <w:t xml:space="preserve"> by the Financial Officer or a duly authorized representative of that entity; and </w:t>
      </w:r>
    </w:p>
    <w:p w:rsidRPr="00422F3C" w:rsidR="00422F3C" w:rsidP="6F8CC60A" w:rsidRDefault="00422F3C" w14:paraId="3A75C88E" w14:textId="582596A9">
      <w:pPr>
        <w:pStyle w:val="ListParagraph"/>
        <w:numPr>
          <w:ilvl w:val="0"/>
          <w:numId w:val="6"/>
        </w:num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5AC504B0">
        <w:rPr>
          <w:rFonts w:ascii="Aptos Display" w:hAnsi="Aptos Display" w:eastAsia="Aptos Display" w:cs="Aptos Display" w:asciiTheme="majorAscii" w:hAnsiTheme="majorAscii" w:eastAsiaTheme="majorAscii" w:cstheme="majorAscii"/>
          <w:sz w:val="22"/>
          <w:szCs w:val="22"/>
          <w:u w:val="single"/>
        </w:rPr>
        <w:t>English</w:t>
      </w:r>
      <w:r w:rsidRPr="6F8CC60A" w:rsidR="5AC504B0">
        <w:rPr>
          <w:rFonts w:ascii="Aptos Display" w:hAnsi="Aptos Display" w:eastAsia="Aptos Display" w:cs="Aptos Display" w:asciiTheme="majorAscii" w:hAnsiTheme="majorAscii" w:eastAsiaTheme="majorAscii" w:cstheme="majorAscii"/>
          <w:sz w:val="22"/>
          <w:szCs w:val="22"/>
        </w:rPr>
        <w:t xml:space="preserve">: Financial statement information must be provided in English (United States). If audited financial statements are prepared in a language other than English, the Respondent must provide a certificate of translation with the translated financial statements. </w:t>
      </w:r>
    </w:p>
    <w:p w:rsidR="00422F3C" w:rsidP="6F8CC60A" w:rsidRDefault="00422F3C" w14:paraId="44D5A5C3"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00422F3C" w:rsidP="6F8CC60A" w:rsidRDefault="00422F3C" w14:paraId="539BC48E" w14:textId="755DA886">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5AC504B0">
        <w:rPr>
          <w:rFonts w:ascii="Aptos Display" w:hAnsi="Aptos Display" w:eastAsia="Aptos Display" w:cs="Aptos Display" w:asciiTheme="majorAscii" w:hAnsiTheme="majorAscii" w:eastAsiaTheme="majorAscii" w:cstheme="majorAscii"/>
          <w:sz w:val="22"/>
          <w:szCs w:val="22"/>
        </w:rPr>
        <w:t xml:space="preserve">If the financial statement </w:t>
      </w:r>
      <w:r w:rsidRPr="6F8CC60A" w:rsidR="5AC504B0">
        <w:rPr>
          <w:rFonts w:ascii="Aptos Display" w:hAnsi="Aptos Display" w:eastAsia="Aptos Display" w:cs="Aptos Display" w:asciiTheme="majorAscii" w:hAnsiTheme="majorAscii" w:eastAsiaTheme="majorAscii" w:cstheme="majorAscii"/>
          <w:sz w:val="22"/>
          <w:szCs w:val="22"/>
        </w:rPr>
        <w:t>submitted</w:t>
      </w:r>
      <w:r w:rsidRPr="6F8CC60A" w:rsidR="5AC504B0">
        <w:rPr>
          <w:rFonts w:ascii="Aptos Display" w:hAnsi="Aptos Display" w:eastAsia="Aptos Display" w:cs="Aptos Display" w:asciiTheme="majorAscii" w:hAnsiTheme="majorAscii" w:eastAsiaTheme="majorAscii" w:cstheme="majorAscii"/>
          <w:sz w:val="22"/>
          <w:szCs w:val="22"/>
        </w:rPr>
        <w:t xml:space="preserve"> by the Respondent does not meet the </w:t>
      </w:r>
      <w:r w:rsidRPr="6F8CC60A" w:rsidR="36B74EBC">
        <w:rPr>
          <w:rFonts w:ascii="Aptos Display" w:hAnsi="Aptos Display" w:eastAsia="Aptos Display" w:cs="Aptos Display" w:asciiTheme="majorAscii" w:hAnsiTheme="majorAscii" w:eastAsiaTheme="majorAscii" w:cstheme="majorAscii"/>
          <w:sz w:val="22"/>
          <w:szCs w:val="22"/>
        </w:rPr>
        <w:t>m</w:t>
      </w:r>
      <w:r w:rsidRPr="6F8CC60A" w:rsidR="5AC504B0">
        <w:rPr>
          <w:rFonts w:ascii="Aptos Display" w:hAnsi="Aptos Display" w:eastAsia="Aptos Display" w:cs="Aptos Display" w:asciiTheme="majorAscii" w:hAnsiTheme="majorAscii" w:eastAsiaTheme="majorAscii" w:cstheme="majorAscii"/>
          <w:sz w:val="22"/>
          <w:szCs w:val="22"/>
        </w:rPr>
        <w:t>inimum</w:t>
      </w:r>
      <w:r w:rsidRPr="6F8CC60A" w:rsidR="5AC504B0">
        <w:rPr>
          <w:rFonts w:ascii="Aptos Display" w:hAnsi="Aptos Display" w:eastAsia="Aptos Display" w:cs="Aptos Display" w:asciiTheme="majorAscii" w:hAnsiTheme="majorAscii" w:eastAsiaTheme="majorAscii" w:cstheme="majorAscii"/>
          <w:sz w:val="22"/>
          <w:szCs w:val="22"/>
        </w:rPr>
        <w:t xml:space="preserve"> </w:t>
      </w:r>
      <w:r w:rsidRPr="6F8CC60A" w:rsidR="36B74EBC">
        <w:rPr>
          <w:rFonts w:ascii="Aptos Display" w:hAnsi="Aptos Display" w:eastAsia="Aptos Display" w:cs="Aptos Display" w:asciiTheme="majorAscii" w:hAnsiTheme="majorAscii" w:eastAsiaTheme="majorAscii" w:cstheme="majorAscii"/>
          <w:sz w:val="22"/>
          <w:szCs w:val="22"/>
        </w:rPr>
        <w:t>r</w:t>
      </w:r>
      <w:r w:rsidRPr="6F8CC60A" w:rsidR="5AC504B0">
        <w:rPr>
          <w:rFonts w:ascii="Aptos Display" w:hAnsi="Aptos Display" w:eastAsia="Aptos Display" w:cs="Aptos Display" w:asciiTheme="majorAscii" w:hAnsiTheme="majorAscii" w:eastAsiaTheme="majorAscii" w:cstheme="majorAscii"/>
          <w:sz w:val="22"/>
          <w:szCs w:val="22"/>
        </w:rPr>
        <w:t xml:space="preserve">equirements outlined </w:t>
      </w:r>
      <w:r w:rsidRPr="6F8CC60A" w:rsidR="36B74EBC">
        <w:rPr>
          <w:rFonts w:ascii="Aptos Display" w:hAnsi="Aptos Display" w:eastAsia="Aptos Display" w:cs="Aptos Display" w:asciiTheme="majorAscii" w:hAnsiTheme="majorAscii" w:eastAsiaTheme="majorAscii" w:cstheme="majorAscii"/>
          <w:sz w:val="22"/>
          <w:szCs w:val="22"/>
        </w:rPr>
        <w:t xml:space="preserve">above, </w:t>
      </w:r>
      <w:r w:rsidRPr="6F8CC60A" w:rsidR="5AC504B0">
        <w:rPr>
          <w:rFonts w:ascii="Aptos Display" w:hAnsi="Aptos Display" w:eastAsia="Aptos Display" w:cs="Aptos Display" w:asciiTheme="majorAscii" w:hAnsiTheme="majorAscii" w:eastAsiaTheme="majorAscii" w:cstheme="majorAscii"/>
          <w:sz w:val="22"/>
          <w:szCs w:val="22"/>
        </w:rPr>
        <w:t>SBHDC</w:t>
      </w:r>
      <w:r w:rsidRPr="6F8CC60A" w:rsidR="5AC504B0">
        <w:rPr>
          <w:rFonts w:ascii="Aptos Display" w:hAnsi="Aptos Display" w:eastAsia="Aptos Display" w:cs="Aptos Display" w:asciiTheme="majorAscii" w:hAnsiTheme="majorAscii" w:eastAsiaTheme="majorAscii" w:cstheme="majorAscii"/>
          <w:sz w:val="22"/>
          <w:szCs w:val="22"/>
        </w:rPr>
        <w:t xml:space="preserve"> may (in its sole discretion), disqualify the Respondent. </w:t>
      </w:r>
    </w:p>
    <w:p w:rsidRPr="00422F3C" w:rsidR="00422F3C" w:rsidP="6F8CC60A" w:rsidRDefault="00422F3C" w14:paraId="71781842"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00422F3C" w:rsidP="6F8CC60A" w:rsidRDefault="00422F3C" w14:paraId="19D054AE" w14:textId="5C9E4CD1">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5AC504B0">
        <w:rPr>
          <w:rFonts w:ascii="Aptos Display" w:hAnsi="Aptos Display" w:eastAsia="Aptos Display" w:cs="Aptos Display" w:asciiTheme="majorAscii" w:hAnsiTheme="majorAscii" w:eastAsiaTheme="majorAscii" w:cstheme="majorAscii"/>
          <w:sz w:val="22"/>
          <w:szCs w:val="22"/>
        </w:rPr>
        <w:t xml:space="preserve">If the Respondent is a newly formed entity and does not have independent financial statements, the Respondent shall expressly state that it is a newly formed entity and does not have independent financial statements meeting the requirements </w:t>
      </w:r>
      <w:r w:rsidRPr="6F8CC60A" w:rsidR="48278F05">
        <w:rPr>
          <w:rFonts w:ascii="Aptos Display" w:hAnsi="Aptos Display" w:eastAsia="Aptos Display" w:cs="Aptos Display" w:asciiTheme="majorAscii" w:hAnsiTheme="majorAscii" w:eastAsiaTheme="majorAscii" w:cstheme="majorAscii"/>
          <w:sz w:val="22"/>
          <w:szCs w:val="22"/>
        </w:rPr>
        <w:t xml:space="preserve">noted </w:t>
      </w:r>
      <w:r w:rsidRPr="6F8CC60A" w:rsidR="48278F05">
        <w:rPr>
          <w:rFonts w:ascii="Aptos Display" w:hAnsi="Aptos Display" w:eastAsia="Aptos Display" w:cs="Aptos Display" w:asciiTheme="majorAscii" w:hAnsiTheme="majorAscii" w:eastAsiaTheme="majorAscii" w:cstheme="majorAscii"/>
          <w:sz w:val="22"/>
          <w:szCs w:val="22"/>
        </w:rPr>
        <w:t>above</w:t>
      </w:r>
      <w:r w:rsidRPr="6F8CC60A" w:rsidR="48278F05">
        <w:rPr>
          <w:rFonts w:ascii="Aptos Display" w:hAnsi="Aptos Display" w:eastAsia="Aptos Display" w:cs="Aptos Display" w:asciiTheme="majorAscii" w:hAnsiTheme="majorAscii" w:eastAsiaTheme="majorAscii" w:cstheme="majorAscii"/>
          <w:sz w:val="22"/>
          <w:szCs w:val="22"/>
        </w:rPr>
        <w:t xml:space="preserve"> </w:t>
      </w:r>
      <w:r w:rsidRPr="6F8CC60A" w:rsidR="5AC504B0">
        <w:rPr>
          <w:rFonts w:ascii="Aptos Display" w:hAnsi="Aptos Display" w:eastAsia="Aptos Display" w:cs="Aptos Display" w:asciiTheme="majorAscii" w:hAnsiTheme="majorAscii" w:eastAsiaTheme="majorAscii" w:cstheme="majorAscii"/>
          <w:sz w:val="22"/>
          <w:szCs w:val="22"/>
        </w:rPr>
        <w:t xml:space="preserve">shall provide financial statements otherwise consistent with those required hereby for each of its </w:t>
      </w:r>
      <w:r w:rsidRPr="6F8CC60A" w:rsidR="41583426">
        <w:rPr>
          <w:rFonts w:ascii="Aptos Display" w:hAnsi="Aptos Display" w:eastAsia="Aptos Display" w:cs="Aptos Display" w:asciiTheme="majorAscii" w:hAnsiTheme="majorAscii" w:eastAsiaTheme="majorAscii" w:cstheme="majorAscii"/>
          <w:sz w:val="22"/>
          <w:szCs w:val="22"/>
        </w:rPr>
        <w:t>e</w:t>
      </w:r>
      <w:r w:rsidRPr="6F8CC60A" w:rsidR="5AC504B0">
        <w:rPr>
          <w:rFonts w:ascii="Aptos Display" w:hAnsi="Aptos Display" w:eastAsia="Aptos Display" w:cs="Aptos Display" w:asciiTheme="majorAscii" w:hAnsiTheme="majorAscii" w:eastAsiaTheme="majorAscii" w:cstheme="majorAscii"/>
          <w:sz w:val="22"/>
          <w:szCs w:val="22"/>
        </w:rPr>
        <w:t xml:space="preserve">quity </w:t>
      </w:r>
      <w:r w:rsidRPr="6F8CC60A" w:rsidR="41583426">
        <w:rPr>
          <w:rFonts w:ascii="Aptos Display" w:hAnsi="Aptos Display" w:eastAsia="Aptos Display" w:cs="Aptos Display" w:asciiTheme="majorAscii" w:hAnsiTheme="majorAscii" w:eastAsiaTheme="majorAscii" w:cstheme="majorAscii"/>
          <w:sz w:val="22"/>
          <w:szCs w:val="22"/>
        </w:rPr>
        <w:t>m</w:t>
      </w:r>
      <w:r w:rsidRPr="6F8CC60A" w:rsidR="5AC504B0">
        <w:rPr>
          <w:rFonts w:ascii="Aptos Display" w:hAnsi="Aptos Display" w:eastAsia="Aptos Display" w:cs="Aptos Display" w:asciiTheme="majorAscii" w:hAnsiTheme="majorAscii" w:eastAsiaTheme="majorAscii" w:cstheme="majorAscii"/>
          <w:sz w:val="22"/>
          <w:szCs w:val="22"/>
        </w:rPr>
        <w:t xml:space="preserve">embers. </w:t>
      </w:r>
    </w:p>
    <w:p w:rsidRPr="00422F3C" w:rsidR="00422F3C" w:rsidP="6F8CC60A" w:rsidRDefault="00422F3C" w14:paraId="5BFD8CED"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00CE4AC2" w:rsidP="6F8CC60A" w:rsidRDefault="00422F3C" w14:paraId="72855C88" w14:textId="30FBF0B8">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5AC504B0">
        <w:rPr>
          <w:rFonts w:ascii="Aptos Display" w:hAnsi="Aptos Display" w:eastAsia="Aptos Display" w:cs="Aptos Display" w:asciiTheme="majorAscii" w:hAnsiTheme="majorAscii" w:eastAsiaTheme="majorAscii" w:cstheme="majorAscii"/>
          <w:sz w:val="22"/>
          <w:szCs w:val="22"/>
        </w:rPr>
        <w:t xml:space="preserve">If a Financially Responsible Party is a parent company of an entity for which a statement of support is provided, provide financial statements on a </w:t>
      </w:r>
      <w:r w:rsidRPr="6F8CC60A" w:rsidR="5AC504B0">
        <w:rPr>
          <w:rFonts w:ascii="Aptos Display" w:hAnsi="Aptos Display" w:eastAsia="Aptos Display" w:cs="Aptos Display" w:asciiTheme="majorAscii" w:hAnsiTheme="majorAscii" w:eastAsiaTheme="majorAscii" w:cstheme="majorAscii"/>
          <w:sz w:val="22"/>
          <w:szCs w:val="22"/>
        </w:rPr>
        <w:t>consolidated</w:t>
      </w:r>
      <w:r w:rsidRPr="6F8CC60A" w:rsidR="5AC504B0">
        <w:rPr>
          <w:rFonts w:ascii="Aptos Display" w:hAnsi="Aptos Display" w:eastAsia="Aptos Display" w:cs="Aptos Display" w:asciiTheme="majorAscii" w:hAnsiTheme="majorAscii" w:eastAsiaTheme="majorAscii" w:cstheme="majorAscii"/>
          <w:sz w:val="22"/>
          <w:szCs w:val="22"/>
        </w:rPr>
        <w:t xml:space="preserve"> basis, only for each parent company entity (not for both the parent company and its subsidiary).</w:t>
      </w:r>
    </w:p>
    <w:p w:rsidR="001325A6" w:rsidP="6F8CC60A" w:rsidRDefault="001325A6" w14:paraId="156B9B3E"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Pr="001325A6" w:rsidR="001325A6" w:rsidP="6F8CC60A" w:rsidRDefault="001325A6" w14:paraId="332EBC4D" w14:textId="1660AA22">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6017448F">
        <w:rPr>
          <w:rFonts w:ascii="Aptos Display" w:hAnsi="Aptos Display" w:eastAsia="Aptos Display" w:cs="Aptos Display" w:asciiTheme="majorAscii" w:hAnsiTheme="majorAscii" w:eastAsiaTheme="majorAscii" w:cstheme="majorAscii"/>
          <w:sz w:val="22"/>
          <w:szCs w:val="22"/>
        </w:rPr>
        <w:t xml:space="preserve">If an entity is performing more than one role as part of the Respondent team, provide only one set of financial statements and clearly </w:t>
      </w:r>
      <w:r w:rsidRPr="6F8CC60A" w:rsidR="6017448F">
        <w:rPr>
          <w:rFonts w:ascii="Aptos Display" w:hAnsi="Aptos Display" w:eastAsia="Aptos Display" w:cs="Aptos Display" w:asciiTheme="majorAscii" w:hAnsiTheme="majorAscii" w:eastAsiaTheme="majorAscii" w:cstheme="majorAscii"/>
          <w:sz w:val="22"/>
          <w:szCs w:val="22"/>
        </w:rPr>
        <w:t>state</w:t>
      </w:r>
      <w:r w:rsidRPr="6F8CC60A" w:rsidR="6017448F">
        <w:rPr>
          <w:rFonts w:ascii="Aptos Display" w:hAnsi="Aptos Display" w:eastAsia="Aptos Display" w:cs="Aptos Display" w:asciiTheme="majorAscii" w:hAnsiTheme="majorAscii" w:eastAsiaTheme="majorAscii" w:cstheme="majorAscii"/>
          <w:sz w:val="22"/>
          <w:szCs w:val="22"/>
        </w:rPr>
        <w:t xml:space="preserve"> the roles the entity is performing. </w:t>
      </w:r>
    </w:p>
    <w:p w:rsidR="001325A6" w:rsidP="6F8CC60A" w:rsidRDefault="001325A6" w14:paraId="70A22EF4"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Pr="001325A6" w:rsidR="001325A6" w:rsidP="6F8CC60A" w:rsidRDefault="001325A6" w14:paraId="22FA9C42" w14:textId="5A39A600">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6017448F">
        <w:rPr>
          <w:rFonts w:ascii="Aptos Display" w:hAnsi="Aptos Display" w:eastAsia="Aptos Display" w:cs="Aptos Display" w:asciiTheme="majorAscii" w:hAnsiTheme="majorAscii" w:eastAsiaTheme="majorAscii" w:cstheme="majorAscii"/>
          <w:sz w:val="22"/>
          <w:szCs w:val="22"/>
        </w:rPr>
        <w:t>As referred to in this RFQ, “financial statements” include the following: (</w:t>
      </w:r>
      <w:r w:rsidRPr="6F8CC60A" w:rsidR="6017448F">
        <w:rPr>
          <w:rFonts w:ascii="Aptos Display" w:hAnsi="Aptos Display" w:eastAsia="Aptos Display" w:cs="Aptos Display" w:asciiTheme="majorAscii" w:hAnsiTheme="majorAscii" w:eastAsiaTheme="majorAscii" w:cstheme="majorAscii"/>
          <w:sz w:val="22"/>
          <w:szCs w:val="22"/>
        </w:rPr>
        <w:t>i</w:t>
      </w:r>
      <w:r w:rsidRPr="6F8CC60A" w:rsidR="6017448F">
        <w:rPr>
          <w:rFonts w:ascii="Aptos Display" w:hAnsi="Aptos Display" w:eastAsia="Aptos Display" w:cs="Aptos Display" w:asciiTheme="majorAscii" w:hAnsiTheme="majorAscii" w:eastAsiaTheme="majorAscii" w:cstheme="majorAscii"/>
          <w:sz w:val="22"/>
          <w:szCs w:val="22"/>
        </w:rPr>
        <w:t xml:space="preserve">) opinion letter (auditor’s report); (ii) balance sheet; (iii) income statement; (iv) statement of cash flow; and (v) footnotes. </w:t>
      </w:r>
    </w:p>
    <w:p w:rsidR="001325A6" w:rsidP="6F8CC60A" w:rsidRDefault="001325A6" w14:paraId="260EC249"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001325A6" w:rsidP="6F8CC60A" w:rsidRDefault="001325A6" w14:paraId="707D0C5B" w14:textId="451DDF5D">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6017448F">
        <w:rPr>
          <w:rFonts w:ascii="Aptos Display" w:hAnsi="Aptos Display" w:eastAsia="Aptos Display" w:cs="Aptos Display" w:asciiTheme="majorAscii" w:hAnsiTheme="majorAscii" w:eastAsiaTheme="majorAscii" w:cstheme="majorAscii"/>
          <w:sz w:val="22"/>
          <w:szCs w:val="22"/>
        </w:rPr>
        <w:t xml:space="preserve">If an entity for whom financial statements </w:t>
      </w:r>
      <w:r w:rsidRPr="6F8CC60A" w:rsidR="6017448F">
        <w:rPr>
          <w:rFonts w:ascii="Aptos Display" w:hAnsi="Aptos Display" w:eastAsia="Aptos Display" w:cs="Aptos Display" w:asciiTheme="majorAscii" w:hAnsiTheme="majorAscii" w:eastAsiaTheme="majorAscii" w:cstheme="majorAscii"/>
          <w:sz w:val="22"/>
          <w:szCs w:val="22"/>
        </w:rPr>
        <w:t>are</w:t>
      </w:r>
      <w:r w:rsidRPr="6F8CC60A" w:rsidR="6017448F">
        <w:rPr>
          <w:rFonts w:ascii="Aptos Display" w:hAnsi="Aptos Display" w:eastAsia="Aptos Display" w:cs="Aptos Display" w:asciiTheme="majorAscii" w:hAnsiTheme="majorAscii" w:eastAsiaTheme="majorAscii" w:cstheme="majorAscii"/>
          <w:sz w:val="22"/>
          <w:szCs w:val="22"/>
        </w:rPr>
        <w:t xml:space="preserve"> submitted files reports with the U.S. Securities and Exchange Commission, then the entity must provide electronic links to the most recently filed Forms 10-K and 10-Q for all such reporting entities and any Form 8-K filed in the 12 months preceding issuance of this RFQ.</w:t>
      </w:r>
    </w:p>
    <w:p w:rsidR="00F27320" w:rsidP="6F8CC60A" w:rsidRDefault="00F27320" w14:paraId="792CF6CB"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Pr="0074452E" w:rsidR="00BA4785" w:rsidP="6F8CC60A" w:rsidRDefault="00BA4785" w14:paraId="00F2B693" w14:textId="77777777">
      <w:pPr>
        <w:pStyle w:val="paragraph"/>
        <w:spacing w:before="0" w:beforeAutospacing="off" w:after="0" w:afterAutospacing="off"/>
        <w:textAlignment w:val="baseline"/>
        <w:rPr>
          <w:rStyle w:val="eop"/>
          <w:rFonts w:ascii="Aptos Display" w:hAnsi="Aptos Display" w:eastAsia="Aptos Display" w:cs="Aptos Display" w:asciiTheme="majorAscii" w:hAnsiTheme="majorAscii" w:eastAsiaTheme="majorAscii" w:cstheme="majorAscii"/>
          <w:b w:val="1"/>
          <w:bCs w:val="1"/>
          <w:sz w:val="22"/>
          <w:szCs w:val="22"/>
        </w:rPr>
      </w:pPr>
      <w:r w:rsidRPr="6F8CC60A" w:rsidR="05717539">
        <w:rPr>
          <w:rStyle w:val="normaltextrun"/>
          <w:rFonts w:ascii="Aptos Display" w:hAnsi="Aptos Display" w:eastAsia="Aptos Display" w:cs="Aptos Display" w:asciiTheme="majorAscii" w:hAnsiTheme="majorAscii" w:eastAsiaTheme="majorAscii" w:cstheme="majorAscii"/>
          <w:b w:val="1"/>
          <w:bCs w:val="1"/>
          <w:sz w:val="22"/>
          <w:szCs w:val="22"/>
        </w:rPr>
        <w:t>Surety Letter </w:t>
      </w:r>
      <w:r w:rsidRPr="6F8CC60A" w:rsidR="05717539">
        <w:rPr>
          <w:rStyle w:val="eop"/>
          <w:rFonts w:ascii="Aptos Display" w:hAnsi="Aptos Display" w:eastAsia="Aptos Display" w:cs="Aptos Display" w:asciiTheme="majorAscii" w:hAnsiTheme="majorAscii" w:eastAsiaTheme="majorAscii" w:cstheme="majorAscii"/>
          <w:b w:val="1"/>
          <w:bCs w:val="1"/>
          <w:sz w:val="22"/>
          <w:szCs w:val="22"/>
        </w:rPr>
        <w:t> </w:t>
      </w:r>
    </w:p>
    <w:p w:rsidR="00272F15" w:rsidP="6F8CC60A" w:rsidRDefault="00272F15" w14:paraId="0AAA0CC3" w14:textId="77777777">
      <w:pPr>
        <w:pStyle w:val="paragraph"/>
        <w:spacing w:before="0" w:beforeAutospacing="off" w:after="0" w:afterAutospacing="off"/>
        <w:textAlignment w:val="baseline"/>
        <w:rPr>
          <w:rFonts w:ascii="Aptos Display" w:hAnsi="Aptos Display" w:eastAsia="Aptos Display" w:cs="Aptos Display" w:asciiTheme="majorAscii" w:hAnsiTheme="majorAscii" w:eastAsiaTheme="majorAscii" w:cstheme="majorAscii"/>
          <w:sz w:val="22"/>
          <w:szCs w:val="22"/>
        </w:rPr>
      </w:pPr>
    </w:p>
    <w:p w:rsidRPr="00272F15" w:rsidR="00BA4785" w:rsidP="6F8CC60A" w:rsidRDefault="00BA4785" w14:paraId="7A52C7CB" w14:textId="6B7F6875">
      <w:pPr>
        <w:pStyle w:val="paragraph"/>
        <w:spacing w:before="0" w:beforeAutospacing="off" w:after="0" w:afterAutospacing="off"/>
        <w:textAlignment w:val="baseline"/>
        <w:rPr>
          <w:rFonts w:ascii="Aptos Display" w:hAnsi="Aptos Display" w:eastAsia="Aptos Display" w:cs="Aptos Display" w:asciiTheme="majorAscii" w:hAnsiTheme="majorAscii" w:eastAsiaTheme="majorAscii" w:cstheme="majorAscii"/>
          <w:sz w:val="22"/>
          <w:szCs w:val="22"/>
        </w:rPr>
      </w:pP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A letter from a surety duly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authorized</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 to do business in </w:t>
      </w:r>
      <w:r w:rsidRPr="6F8CC60A" w:rsidR="0D9656A0">
        <w:rPr>
          <w:rStyle w:val="normaltextrun"/>
          <w:rFonts w:ascii="Aptos Display" w:hAnsi="Aptos Display" w:eastAsia="Aptos Display" w:cs="Aptos Display" w:asciiTheme="majorAscii" w:hAnsiTheme="majorAscii" w:eastAsiaTheme="majorAscii" w:cstheme="majorAscii"/>
          <w:sz w:val="22"/>
          <w:szCs w:val="22"/>
        </w:rPr>
        <w:t xml:space="preserve">the </w:t>
      </w:r>
      <w:r w:rsidRPr="6F8CC60A" w:rsidR="6840C078">
        <w:rPr>
          <w:rStyle w:val="normaltextrun"/>
          <w:rFonts w:ascii="Aptos Display" w:hAnsi="Aptos Display" w:eastAsia="Aptos Display" w:cs="Aptos Display" w:asciiTheme="majorAscii" w:hAnsiTheme="majorAscii" w:eastAsiaTheme="majorAscii" w:cstheme="majorAscii"/>
          <w:sz w:val="22"/>
          <w:szCs w:val="22"/>
        </w:rPr>
        <w:t>S</w:t>
      </w:r>
      <w:r w:rsidRPr="6F8CC60A" w:rsidR="0D9656A0">
        <w:rPr>
          <w:rStyle w:val="normaltextrun"/>
          <w:rFonts w:ascii="Aptos Display" w:hAnsi="Aptos Display" w:eastAsia="Aptos Display" w:cs="Aptos Display" w:asciiTheme="majorAscii" w:hAnsiTheme="majorAscii" w:eastAsiaTheme="majorAscii" w:cstheme="majorAscii"/>
          <w:sz w:val="22"/>
          <w:szCs w:val="22"/>
        </w:rPr>
        <w:t xml:space="preserve">tate of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New York that satisfies the following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minimum</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requirements:</w:t>
      </w:r>
      <w:r w:rsidRPr="6F8CC60A" w:rsidR="05717539">
        <w:rPr>
          <w:rStyle w:val="eop"/>
          <w:rFonts w:ascii="Aptos Display" w:hAnsi="Aptos Display" w:eastAsia="Aptos Display" w:cs="Aptos Display" w:asciiTheme="majorAscii" w:hAnsiTheme="majorAscii" w:eastAsiaTheme="majorAscii" w:cstheme="majorAscii"/>
          <w:sz w:val="22"/>
          <w:szCs w:val="22"/>
        </w:rPr>
        <w:t> </w:t>
      </w:r>
    </w:p>
    <w:p w:rsidRPr="00272F15" w:rsidR="00BA4785" w:rsidP="6F8CC60A" w:rsidRDefault="00BA4785" w14:paraId="54C79EE6" w14:textId="1D6BF4B3">
      <w:pPr>
        <w:pStyle w:val="paragraph"/>
        <w:numPr>
          <w:ilvl w:val="0"/>
          <w:numId w:val="9"/>
        </w:numPr>
        <w:spacing w:before="0" w:beforeAutospacing="off" w:after="0" w:afterAutospacing="off"/>
        <w:textAlignment w:val="baseline"/>
        <w:rPr>
          <w:rFonts w:ascii="Aptos Display" w:hAnsi="Aptos Display" w:eastAsia="Aptos Display" w:cs="Aptos Display" w:asciiTheme="majorAscii" w:hAnsiTheme="majorAscii" w:eastAsiaTheme="majorAscii" w:cstheme="majorAscii"/>
          <w:sz w:val="22"/>
          <w:szCs w:val="22"/>
        </w:rPr>
      </w:pP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State without conditions or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qualification,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the amount</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 that the</w:t>
      </w:r>
      <w:r w:rsidRPr="6F8CC60A" w:rsidR="798124F9">
        <w:rPr>
          <w:rStyle w:val="normaltextrun"/>
          <w:rFonts w:ascii="Aptos Display" w:hAnsi="Aptos Display" w:eastAsia="Aptos Display" w:cs="Aptos Display" w:asciiTheme="majorAscii" w:hAnsiTheme="majorAscii" w:eastAsiaTheme="majorAscii" w:cstheme="majorAscii"/>
          <w:sz w:val="22"/>
          <w:szCs w:val="22"/>
        </w:rPr>
        <w:t xml:space="preserve"> lead construction contractor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is capable, as of the date of the SOQ submission</w:t>
      </w:r>
      <w:r w:rsidRPr="6F8CC60A" w:rsidR="04A1DA04">
        <w:rPr>
          <w:rStyle w:val="normaltextrun"/>
          <w:rFonts w:ascii="Aptos Display" w:hAnsi="Aptos Display" w:eastAsia="Aptos Display" w:cs="Aptos Display" w:asciiTheme="majorAscii" w:hAnsiTheme="majorAscii" w:eastAsiaTheme="majorAscii" w:cstheme="majorAscii"/>
          <w:sz w:val="22"/>
          <w:szCs w:val="22"/>
        </w:rPr>
        <w:t>,</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 of obtaining for a payment bond (or bonds) and a performance</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 bond (or bonds), for the Project; a letter stating that the relevant entity has “unlimited” bonding capacity is not acceptable; and </w:t>
      </w:r>
      <w:r w:rsidRPr="6F8CC60A" w:rsidR="05717539">
        <w:rPr>
          <w:rStyle w:val="eop"/>
          <w:rFonts w:ascii="Aptos Display" w:hAnsi="Aptos Display" w:eastAsia="Aptos Display" w:cs="Aptos Display" w:asciiTheme="majorAscii" w:hAnsiTheme="majorAscii" w:eastAsiaTheme="majorAscii" w:cstheme="majorAscii"/>
          <w:sz w:val="22"/>
          <w:szCs w:val="22"/>
        </w:rPr>
        <w:t> </w:t>
      </w:r>
    </w:p>
    <w:p w:rsidRPr="00964057" w:rsidR="00BA4785" w:rsidP="6F8CC60A" w:rsidRDefault="00BA4785" w14:paraId="52717DD9" w14:textId="61E630BB">
      <w:pPr>
        <w:pStyle w:val="paragraph"/>
        <w:numPr>
          <w:ilvl w:val="0"/>
          <w:numId w:val="9"/>
        </w:numPr>
        <w:spacing w:before="0" w:beforeAutospacing="off" w:after="0" w:afterAutospacing="off"/>
        <w:textAlignment w:val="baseline"/>
        <w:rPr>
          <w:rFonts w:ascii="Aptos Display" w:hAnsi="Aptos Display" w:eastAsia="Aptos Display" w:cs="Aptos Display" w:asciiTheme="majorAscii" w:hAnsiTheme="majorAscii" w:eastAsiaTheme="majorAscii" w:cstheme="majorAscii"/>
          <w:sz w:val="22"/>
          <w:szCs w:val="22"/>
        </w:rPr>
      </w:pPr>
      <w:r w:rsidRPr="6F8CC60A" w:rsidR="05717539">
        <w:rPr>
          <w:rStyle w:val="normaltextrun"/>
          <w:rFonts w:ascii="Aptos Display" w:hAnsi="Aptos Display" w:eastAsia="Aptos Display" w:cs="Aptos Display" w:asciiTheme="majorAscii" w:hAnsiTheme="majorAscii" w:eastAsiaTheme="majorAscii" w:cstheme="majorAscii"/>
          <w:sz w:val="22"/>
          <w:szCs w:val="22"/>
        </w:rPr>
        <w:t>Be signed by a surety company providing such surety company must be rated at least “A” or better and “Class</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 VIII” or better by A.M. Best and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Company, and</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must be listed on Treasury Department Circular 570 (found at https://www.fiscal.treasury.gov/fsreports/ref/suretyBnd/c570.htm); evidence of the surety’s rating must be attached to the Surety Letter. </w:t>
      </w:r>
      <w:r w:rsidRPr="6F8CC60A" w:rsidR="05717539">
        <w:rPr>
          <w:rStyle w:val="eop"/>
          <w:rFonts w:ascii="Aptos Display" w:hAnsi="Aptos Display" w:eastAsia="Aptos Display" w:cs="Aptos Display" w:asciiTheme="majorAscii" w:hAnsiTheme="majorAscii" w:eastAsiaTheme="majorAscii" w:cstheme="majorAscii"/>
          <w:sz w:val="22"/>
          <w:szCs w:val="22"/>
        </w:rPr>
        <w:t>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The Surety Letter must expressly </w:t>
      </w:r>
      <w:r w:rsidRPr="6F8CC60A" w:rsidR="05717539">
        <w:rPr>
          <w:rStyle w:val="normaltextrun"/>
          <w:rFonts w:ascii="Aptos Display" w:hAnsi="Aptos Display" w:eastAsia="Aptos Display" w:cs="Aptos Display" w:asciiTheme="majorAscii" w:hAnsiTheme="majorAscii" w:eastAsiaTheme="majorAscii" w:cstheme="majorAscii"/>
          <w:sz w:val="22"/>
          <w:szCs w:val="22"/>
        </w:rPr>
        <w:t>state</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 verbatim, and without qualification, that the surety “has reviewed this RFQ and is familiar with the contractual structure and financial structure described in this RFQ and has evaluated the </w:t>
      </w:r>
      <w:r w:rsidRPr="6F8CC60A" w:rsidR="155A4516">
        <w:rPr>
          <w:rStyle w:val="normaltextrun"/>
          <w:rFonts w:ascii="Aptos Display" w:hAnsi="Aptos Display" w:eastAsia="Aptos Display" w:cs="Aptos Display" w:asciiTheme="majorAscii" w:hAnsiTheme="majorAscii" w:eastAsiaTheme="majorAscii" w:cstheme="majorAscii"/>
          <w:sz w:val="22"/>
          <w:szCs w:val="22"/>
        </w:rPr>
        <w:t>l</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ead </w:t>
      </w:r>
      <w:r w:rsidRPr="6F8CC60A" w:rsidR="155A4516">
        <w:rPr>
          <w:rStyle w:val="normaltextrun"/>
          <w:rFonts w:ascii="Aptos Display" w:hAnsi="Aptos Display" w:eastAsia="Aptos Display" w:cs="Aptos Display" w:asciiTheme="majorAscii" w:hAnsiTheme="majorAscii" w:eastAsiaTheme="majorAscii" w:cstheme="majorAscii"/>
          <w:sz w:val="22"/>
          <w:szCs w:val="22"/>
        </w:rPr>
        <w:t>c</w:t>
      </w:r>
      <w:r w:rsidRPr="6F8CC60A" w:rsidR="05717539">
        <w:rPr>
          <w:rStyle w:val="normaltextrun"/>
          <w:rFonts w:ascii="Aptos Display" w:hAnsi="Aptos Display" w:eastAsia="Aptos Display" w:cs="Aptos Display" w:asciiTheme="majorAscii" w:hAnsiTheme="majorAscii" w:eastAsiaTheme="majorAscii" w:cstheme="majorAscii"/>
          <w:sz w:val="22"/>
          <w:szCs w:val="22"/>
        </w:rPr>
        <w:t xml:space="preserve">onstruction </w:t>
      </w:r>
      <w:r w:rsidRPr="6F8CC60A" w:rsidR="155A4516">
        <w:rPr>
          <w:rStyle w:val="normaltextrun"/>
          <w:rFonts w:ascii="Aptos Display" w:hAnsi="Aptos Display" w:eastAsia="Aptos Display" w:cs="Aptos Display" w:asciiTheme="majorAscii" w:hAnsiTheme="majorAscii" w:eastAsiaTheme="majorAscii" w:cstheme="majorAscii"/>
          <w:sz w:val="22"/>
          <w:szCs w:val="22"/>
        </w:rPr>
        <w:t>c</w:t>
      </w:r>
      <w:r w:rsidRPr="6F8CC60A" w:rsidR="05717539">
        <w:rPr>
          <w:rStyle w:val="normaltextrun"/>
          <w:rFonts w:ascii="Aptos Display" w:hAnsi="Aptos Display" w:eastAsia="Aptos Display" w:cs="Aptos Display" w:asciiTheme="majorAscii" w:hAnsiTheme="majorAscii" w:eastAsiaTheme="majorAscii" w:cstheme="majorAscii"/>
          <w:sz w:val="22"/>
          <w:szCs w:val="22"/>
        </w:rPr>
        <w:t>ontractor’s backlog and work-in-progress in determining its bonding capacity</w:t>
      </w:r>
      <w:r w:rsidRPr="6F8CC60A" w:rsidR="05717539">
        <w:rPr>
          <w:rStyle w:val="normaltextrun"/>
          <w:rFonts w:ascii="Aptos Display" w:hAnsi="Aptos Display" w:eastAsia="Aptos Display" w:cs="Aptos Display" w:asciiTheme="majorAscii" w:hAnsiTheme="majorAscii" w:eastAsiaTheme="majorAscii" w:cstheme="majorAscii"/>
          <w:sz w:val="22"/>
          <w:szCs w:val="22"/>
        </w:rPr>
        <w:t>”.</w:t>
      </w:r>
      <w:r w:rsidRPr="6F8CC60A" w:rsidR="05717539">
        <w:rPr>
          <w:rStyle w:val="eop"/>
          <w:rFonts w:ascii="Aptos Display" w:hAnsi="Aptos Display" w:eastAsia="Aptos Display" w:cs="Aptos Display" w:asciiTheme="majorAscii" w:hAnsiTheme="majorAscii" w:eastAsiaTheme="majorAscii" w:cstheme="majorAscii"/>
          <w:sz w:val="22"/>
          <w:szCs w:val="22"/>
        </w:rPr>
        <w:t> </w:t>
      </w:r>
    </w:p>
    <w:p w:rsidR="00BA4785" w:rsidP="6F8CC60A" w:rsidRDefault="00BA4785" w14:paraId="2E111880" w14:textId="77777777">
      <w:pPr>
        <w:spacing w:after="0" w:line="240" w:lineRule="auto"/>
        <w:rPr>
          <w:rFonts w:ascii="Aptos Display" w:hAnsi="Aptos Display" w:eastAsia="Aptos Display" w:cs="Aptos Display" w:asciiTheme="majorAscii" w:hAnsiTheme="majorAscii" w:eastAsiaTheme="majorAscii" w:cstheme="majorAscii"/>
          <w:b w:val="1"/>
          <w:bCs w:val="1"/>
          <w:sz w:val="22"/>
          <w:szCs w:val="22"/>
        </w:rPr>
      </w:pPr>
    </w:p>
    <w:p w:rsidR="0021692E" w:rsidP="6F8CC60A" w:rsidRDefault="0021692E" w14:paraId="07B99316" w14:textId="77777777">
      <w:pPr>
        <w:rPr>
          <w:rFonts w:ascii="Aptos Display" w:hAnsi="Aptos Display" w:eastAsia="Aptos Display" w:cs="Aptos Display" w:asciiTheme="majorAscii" w:hAnsiTheme="majorAscii" w:eastAsiaTheme="majorAscii" w:cstheme="majorAscii"/>
          <w:b w:val="1"/>
          <w:bCs w:val="1"/>
          <w:sz w:val="22"/>
          <w:szCs w:val="22"/>
        </w:rPr>
      </w:pPr>
      <w:r w:rsidRPr="6F8CC60A">
        <w:rPr>
          <w:rFonts w:ascii="Aptos Display" w:hAnsi="Aptos Display" w:eastAsia="Aptos Display" w:cs="Aptos Display" w:asciiTheme="majorAscii" w:hAnsiTheme="majorAscii" w:eastAsiaTheme="majorAscii" w:cstheme="majorAscii"/>
          <w:b w:val="1"/>
          <w:bCs w:val="1"/>
          <w:sz w:val="22"/>
          <w:szCs w:val="22"/>
        </w:rPr>
        <w:br w:type="page"/>
      </w:r>
    </w:p>
    <w:p w:rsidR="00F27320" w:rsidP="6F8CC60A" w:rsidRDefault="00F27320" w14:paraId="4246AD6B" w14:textId="679DDC16">
      <w:pPr>
        <w:spacing w:after="0" w:line="240" w:lineRule="auto"/>
        <w:rPr>
          <w:rFonts w:ascii="Aptos Display" w:hAnsi="Aptos Display" w:eastAsia="Aptos Display" w:cs="Aptos Display" w:asciiTheme="majorAscii" w:hAnsiTheme="majorAscii" w:eastAsiaTheme="majorAscii" w:cstheme="majorAscii"/>
          <w:b w:val="1"/>
          <w:bCs w:val="1"/>
          <w:sz w:val="22"/>
          <w:szCs w:val="22"/>
        </w:rPr>
      </w:pPr>
      <w:r w:rsidRPr="6F8CC60A" w:rsidR="00ACCED7">
        <w:rPr>
          <w:rFonts w:ascii="Aptos Display" w:hAnsi="Aptos Display" w:eastAsia="Aptos Display" w:cs="Aptos Display" w:asciiTheme="majorAscii" w:hAnsiTheme="majorAscii" w:eastAsiaTheme="majorAscii" w:cstheme="majorAscii"/>
          <w:b w:val="1"/>
          <w:bCs w:val="1"/>
          <w:sz w:val="22"/>
          <w:szCs w:val="22"/>
        </w:rPr>
        <w:t>Financially Responsible Party Support Letters</w:t>
      </w:r>
    </w:p>
    <w:p w:rsidRPr="00F27320" w:rsidR="00EC4E5F" w:rsidP="6F8CC60A" w:rsidRDefault="00EC4E5F" w14:paraId="27409BDB" w14:textId="77777777">
      <w:pPr>
        <w:spacing w:after="0" w:line="240" w:lineRule="auto"/>
        <w:rPr>
          <w:rFonts w:ascii="Aptos Display" w:hAnsi="Aptos Display" w:eastAsia="Aptos Display" w:cs="Aptos Display" w:asciiTheme="majorAscii" w:hAnsiTheme="majorAscii" w:eastAsiaTheme="majorAscii" w:cstheme="majorAscii"/>
          <w:b w:val="1"/>
          <w:bCs w:val="1"/>
          <w:sz w:val="22"/>
          <w:szCs w:val="22"/>
        </w:rPr>
      </w:pPr>
    </w:p>
    <w:p w:rsidR="00F27320" w:rsidP="6F8CC60A" w:rsidRDefault="00F27320" w14:paraId="4D22E1A9" w14:textId="19AA98ED">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00ACCED7">
        <w:rPr>
          <w:rFonts w:ascii="Aptos Display" w:hAnsi="Aptos Display" w:eastAsia="Aptos Display" w:cs="Aptos Display" w:asciiTheme="majorAscii" w:hAnsiTheme="majorAscii" w:eastAsiaTheme="majorAscii" w:cstheme="majorAscii"/>
          <w:sz w:val="22"/>
          <w:szCs w:val="22"/>
        </w:rPr>
        <w:t xml:space="preserve">If financial statements of a Financially Responsible Party are </w:t>
      </w:r>
      <w:r w:rsidRPr="6F8CC60A" w:rsidR="00ACCED7">
        <w:rPr>
          <w:rFonts w:ascii="Aptos Display" w:hAnsi="Aptos Display" w:eastAsia="Aptos Display" w:cs="Aptos Display" w:asciiTheme="majorAscii" w:hAnsiTheme="majorAscii" w:eastAsiaTheme="majorAscii" w:cstheme="majorAscii"/>
          <w:sz w:val="22"/>
          <w:szCs w:val="22"/>
        </w:rPr>
        <w:t>provided</w:t>
      </w:r>
      <w:r w:rsidRPr="6F8CC60A" w:rsidR="00ACCED7">
        <w:rPr>
          <w:rFonts w:ascii="Aptos Display" w:hAnsi="Aptos Display" w:eastAsia="Aptos Display" w:cs="Aptos Display" w:asciiTheme="majorAscii" w:hAnsiTheme="majorAscii" w:eastAsiaTheme="majorAscii" w:cstheme="majorAscii"/>
          <w:sz w:val="22"/>
          <w:szCs w:val="22"/>
        </w:rPr>
        <w:t xml:space="preserve"> to </w:t>
      </w:r>
      <w:r w:rsidRPr="6F8CC60A" w:rsidR="00ACCED7">
        <w:rPr>
          <w:rFonts w:ascii="Aptos Display" w:hAnsi="Aptos Display" w:eastAsia="Aptos Display" w:cs="Aptos Display" w:asciiTheme="majorAscii" w:hAnsiTheme="majorAscii" w:eastAsiaTheme="majorAscii" w:cstheme="majorAscii"/>
          <w:sz w:val="22"/>
          <w:szCs w:val="22"/>
        </w:rPr>
        <w:t>demonstrate</w:t>
      </w:r>
      <w:r w:rsidRPr="6F8CC60A" w:rsidR="00ACCED7">
        <w:rPr>
          <w:rFonts w:ascii="Aptos Display" w:hAnsi="Aptos Display" w:eastAsia="Aptos Display" w:cs="Aptos Display" w:asciiTheme="majorAscii" w:hAnsiTheme="majorAscii" w:eastAsiaTheme="majorAscii" w:cstheme="majorAscii"/>
          <w:sz w:val="22"/>
          <w:szCs w:val="22"/>
        </w:rPr>
        <w:t xml:space="preserve"> financial capability of Respondent, </w:t>
      </w:r>
      <w:r w:rsidRPr="6F8CC60A" w:rsidR="41583426">
        <w:rPr>
          <w:rFonts w:ascii="Aptos Display" w:hAnsi="Aptos Display" w:eastAsia="Aptos Display" w:cs="Aptos Display" w:asciiTheme="majorAscii" w:hAnsiTheme="majorAscii" w:eastAsiaTheme="majorAscii" w:cstheme="majorAscii"/>
          <w:sz w:val="22"/>
          <w:szCs w:val="22"/>
        </w:rPr>
        <w:t>e</w:t>
      </w:r>
      <w:r w:rsidRPr="6F8CC60A" w:rsidR="00ACCED7">
        <w:rPr>
          <w:rFonts w:ascii="Aptos Display" w:hAnsi="Aptos Display" w:eastAsia="Aptos Display" w:cs="Aptos Display" w:asciiTheme="majorAscii" w:hAnsiTheme="majorAscii" w:eastAsiaTheme="majorAscii" w:cstheme="majorAscii"/>
          <w:sz w:val="22"/>
          <w:szCs w:val="22"/>
        </w:rPr>
        <w:t xml:space="preserve">quity </w:t>
      </w:r>
      <w:r w:rsidRPr="6F8CC60A" w:rsidR="41583426">
        <w:rPr>
          <w:rFonts w:ascii="Aptos Display" w:hAnsi="Aptos Display" w:eastAsia="Aptos Display" w:cs="Aptos Display" w:asciiTheme="majorAscii" w:hAnsiTheme="majorAscii" w:eastAsiaTheme="majorAscii" w:cstheme="majorAscii"/>
          <w:sz w:val="22"/>
          <w:szCs w:val="22"/>
        </w:rPr>
        <w:t>m</w:t>
      </w:r>
      <w:r w:rsidRPr="6F8CC60A" w:rsidR="00ACCED7">
        <w:rPr>
          <w:rFonts w:ascii="Aptos Display" w:hAnsi="Aptos Display" w:eastAsia="Aptos Display" w:cs="Aptos Display" w:asciiTheme="majorAscii" w:hAnsiTheme="majorAscii" w:eastAsiaTheme="majorAscii" w:cstheme="majorAscii"/>
          <w:sz w:val="22"/>
          <w:szCs w:val="22"/>
        </w:rPr>
        <w:t xml:space="preserve">embers, </w:t>
      </w:r>
      <w:r w:rsidRPr="6F8CC60A" w:rsidR="41583426">
        <w:rPr>
          <w:rFonts w:ascii="Aptos Display" w:hAnsi="Aptos Display" w:eastAsia="Aptos Display" w:cs="Aptos Display" w:asciiTheme="majorAscii" w:hAnsiTheme="majorAscii" w:eastAsiaTheme="majorAscii" w:cstheme="majorAscii"/>
          <w:sz w:val="22"/>
          <w:szCs w:val="22"/>
        </w:rPr>
        <w:t>l</w:t>
      </w:r>
      <w:r w:rsidRPr="6F8CC60A" w:rsidR="00ACCED7">
        <w:rPr>
          <w:rFonts w:ascii="Aptos Display" w:hAnsi="Aptos Display" w:eastAsia="Aptos Display" w:cs="Aptos Display" w:asciiTheme="majorAscii" w:hAnsiTheme="majorAscii" w:eastAsiaTheme="majorAscii" w:cstheme="majorAscii"/>
          <w:sz w:val="22"/>
          <w:szCs w:val="22"/>
        </w:rPr>
        <w:t xml:space="preserve">ead </w:t>
      </w:r>
      <w:r w:rsidRPr="6F8CC60A" w:rsidR="41583426">
        <w:rPr>
          <w:rFonts w:ascii="Aptos Display" w:hAnsi="Aptos Display" w:eastAsia="Aptos Display" w:cs="Aptos Display" w:asciiTheme="majorAscii" w:hAnsiTheme="majorAscii" w:eastAsiaTheme="majorAscii" w:cstheme="majorAscii"/>
          <w:sz w:val="22"/>
          <w:szCs w:val="22"/>
        </w:rPr>
        <w:t>c</w:t>
      </w:r>
      <w:r w:rsidRPr="6F8CC60A" w:rsidR="00ACCED7">
        <w:rPr>
          <w:rFonts w:ascii="Aptos Display" w:hAnsi="Aptos Display" w:eastAsia="Aptos Display" w:cs="Aptos Display" w:asciiTheme="majorAscii" w:hAnsiTheme="majorAscii" w:eastAsiaTheme="majorAscii" w:cstheme="majorAscii"/>
          <w:sz w:val="22"/>
          <w:szCs w:val="22"/>
        </w:rPr>
        <w:t>ontractor,</w:t>
      </w:r>
      <w:r w:rsidRPr="6F8CC60A" w:rsidR="41583426">
        <w:rPr>
          <w:rFonts w:ascii="Aptos Display" w:hAnsi="Aptos Display" w:eastAsia="Aptos Display" w:cs="Aptos Display" w:asciiTheme="majorAscii" w:hAnsiTheme="majorAscii" w:eastAsiaTheme="majorAscii" w:cstheme="majorAscii"/>
          <w:sz w:val="22"/>
          <w:szCs w:val="22"/>
        </w:rPr>
        <w:t xml:space="preserve"> or lead O&amp;M contractor</w:t>
      </w:r>
      <w:r w:rsidRPr="6F8CC60A" w:rsidR="00ACCED7">
        <w:rPr>
          <w:rFonts w:ascii="Aptos Display" w:hAnsi="Aptos Display" w:eastAsia="Aptos Display" w:cs="Aptos Display" w:asciiTheme="majorAscii" w:hAnsiTheme="majorAscii" w:eastAsiaTheme="majorAscii" w:cstheme="majorAscii"/>
          <w:sz w:val="22"/>
          <w:szCs w:val="22"/>
        </w:rPr>
        <w:t xml:space="preserve"> </w:t>
      </w:r>
      <w:r w:rsidRPr="6F8CC60A" w:rsidR="00ACCED7">
        <w:rPr>
          <w:rFonts w:ascii="Aptos Display" w:hAnsi="Aptos Display" w:eastAsia="Aptos Display" w:cs="Aptos Display" w:asciiTheme="majorAscii" w:hAnsiTheme="majorAscii" w:eastAsiaTheme="majorAscii" w:cstheme="majorAscii"/>
          <w:sz w:val="22"/>
          <w:szCs w:val="22"/>
        </w:rPr>
        <w:t>the SOQ must include the following:</w:t>
      </w:r>
    </w:p>
    <w:p w:rsidR="00F27320" w:rsidP="6F8CC60A" w:rsidRDefault="00F27320" w14:paraId="038D8890"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00F27320" w:rsidP="6F8CC60A" w:rsidRDefault="00F27320" w14:paraId="52F28B14" w14:textId="77777777">
      <w:pPr>
        <w:pStyle w:val="ListParagraph"/>
        <w:numPr>
          <w:ilvl w:val="0"/>
          <w:numId w:val="8"/>
        </w:num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00ACCED7">
        <w:rPr>
          <w:rFonts w:ascii="Aptos Display" w:hAnsi="Aptos Display" w:eastAsia="Aptos Display" w:cs="Aptos Display" w:asciiTheme="majorAscii" w:hAnsiTheme="majorAscii" w:eastAsiaTheme="majorAscii" w:cstheme="majorAscii"/>
          <w:i w:val="1"/>
          <w:iCs w:val="1"/>
          <w:sz w:val="22"/>
          <w:szCs w:val="22"/>
        </w:rPr>
        <w:t xml:space="preserve">Financially Responsible Party Support Letter(s): </w:t>
      </w:r>
      <w:r w:rsidRPr="6F8CC60A" w:rsidR="00ACCED7">
        <w:rPr>
          <w:rFonts w:ascii="Aptos Display" w:hAnsi="Aptos Display" w:eastAsia="Aptos Display" w:cs="Aptos Display" w:asciiTheme="majorAscii" w:hAnsiTheme="majorAscii" w:eastAsiaTheme="majorAscii" w:cstheme="majorAscii"/>
          <w:sz w:val="22"/>
          <w:szCs w:val="22"/>
        </w:rPr>
        <w:t>A</w:t>
      </w:r>
      <w:r w:rsidRPr="6F8CC60A" w:rsidR="00ACCED7">
        <w:rPr>
          <w:rFonts w:ascii="Aptos Display" w:hAnsi="Aptos Display" w:eastAsia="Aptos Display" w:cs="Aptos Display" w:asciiTheme="majorAscii" w:hAnsiTheme="majorAscii" w:eastAsiaTheme="majorAscii" w:cstheme="majorAscii"/>
          <w:sz w:val="22"/>
          <w:szCs w:val="22"/>
        </w:rPr>
        <w:t xml:space="preserve">n appropriate letter from the applicable Financially Responsible Party, signed by the Chief Executive Officer or Chief Financial Officer (or their respective equivalent officers) must be provided confirming the Financially Responsible Party’s intention to support the Respondent, Equity Member or Lead Contractor, as applicable with the financial support and human resources needed to successfully complete the Project. </w:t>
      </w:r>
    </w:p>
    <w:p w:rsidR="00F27320" w:rsidP="6F8CC60A" w:rsidRDefault="00F27320" w14:paraId="6E1153B3"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p w:rsidRPr="00F27320" w:rsidR="00F27320" w:rsidP="6F8CC60A" w:rsidRDefault="00F27320" w14:paraId="2C77AD2D" w14:textId="40282A82">
      <w:pPr>
        <w:spacing w:after="0" w:line="240" w:lineRule="auto"/>
        <w:rPr>
          <w:rFonts w:ascii="Aptos Display" w:hAnsi="Aptos Display" w:eastAsia="Aptos Display" w:cs="Aptos Display" w:asciiTheme="majorAscii" w:hAnsiTheme="majorAscii" w:eastAsiaTheme="majorAscii" w:cstheme="majorAscii"/>
          <w:sz w:val="22"/>
          <w:szCs w:val="22"/>
        </w:rPr>
      </w:pPr>
      <w:r w:rsidRPr="6F8CC60A" w:rsidR="00ACCED7">
        <w:rPr>
          <w:rFonts w:ascii="Aptos Display" w:hAnsi="Aptos Display" w:eastAsia="Aptos Display" w:cs="Aptos Display" w:asciiTheme="majorAscii" w:hAnsiTheme="majorAscii" w:eastAsiaTheme="majorAscii" w:cstheme="majorAscii"/>
          <w:sz w:val="22"/>
          <w:szCs w:val="22"/>
        </w:rPr>
        <w:t xml:space="preserve">SBHDC </w:t>
      </w:r>
      <w:r w:rsidRPr="6F8CC60A" w:rsidR="00ACCED7">
        <w:rPr>
          <w:rFonts w:ascii="Aptos Display" w:hAnsi="Aptos Display" w:eastAsia="Aptos Display" w:cs="Aptos Display" w:asciiTheme="majorAscii" w:hAnsiTheme="majorAscii" w:eastAsiaTheme="majorAscii" w:cstheme="majorAscii"/>
          <w:sz w:val="22"/>
          <w:szCs w:val="22"/>
        </w:rPr>
        <w:t xml:space="preserve">may </w:t>
      </w:r>
      <w:r w:rsidRPr="6F8CC60A" w:rsidR="00ACCED7">
        <w:rPr>
          <w:rFonts w:ascii="Aptos Display" w:hAnsi="Aptos Display" w:eastAsia="Aptos Display" w:cs="Aptos Display" w:asciiTheme="majorAscii" w:hAnsiTheme="majorAscii" w:eastAsiaTheme="majorAscii" w:cstheme="majorAscii"/>
          <w:sz w:val="22"/>
          <w:szCs w:val="22"/>
        </w:rPr>
        <w:t>require</w:t>
      </w:r>
      <w:r w:rsidRPr="6F8CC60A" w:rsidR="00ACCED7">
        <w:rPr>
          <w:rFonts w:ascii="Aptos Display" w:hAnsi="Aptos Display" w:eastAsia="Aptos Display" w:cs="Aptos Display" w:asciiTheme="majorAscii" w:hAnsiTheme="majorAscii" w:eastAsiaTheme="majorAscii" w:cstheme="majorAscii"/>
          <w:sz w:val="22"/>
          <w:szCs w:val="22"/>
        </w:rPr>
        <w:t xml:space="preserve">, in its sole discretion, based upon the review of the information provided </w:t>
      </w:r>
      <w:r w:rsidRPr="6F8CC60A" w:rsidR="00ACCED7">
        <w:rPr>
          <w:rFonts w:ascii="Aptos Display" w:hAnsi="Aptos Display" w:eastAsia="Aptos Display" w:cs="Aptos Display" w:asciiTheme="majorAscii" w:hAnsiTheme="majorAscii" w:eastAsiaTheme="majorAscii" w:cstheme="majorAscii"/>
          <w:sz w:val="22"/>
          <w:szCs w:val="22"/>
        </w:rPr>
        <w:t>and</w:t>
      </w:r>
      <w:r w:rsidRPr="6F8CC60A" w:rsidR="00ACCED7">
        <w:rPr>
          <w:rFonts w:ascii="Aptos Display" w:hAnsi="Aptos Display" w:eastAsia="Aptos Display" w:cs="Aptos Display" w:asciiTheme="majorAscii" w:hAnsiTheme="majorAscii" w:eastAsiaTheme="majorAscii" w:cstheme="majorAscii"/>
          <w:sz w:val="22"/>
          <w:szCs w:val="22"/>
        </w:rPr>
        <w:t xml:space="preserve"> the form of the Respondent’s organization, </w:t>
      </w:r>
      <w:r w:rsidRPr="6F8CC60A" w:rsidR="00ACCED7">
        <w:rPr>
          <w:rFonts w:ascii="Aptos Display" w:hAnsi="Aptos Display" w:eastAsia="Aptos Display" w:cs="Aptos Display" w:asciiTheme="majorAscii" w:hAnsiTheme="majorAscii" w:eastAsiaTheme="majorAscii" w:cstheme="majorAscii"/>
          <w:sz w:val="22"/>
          <w:szCs w:val="22"/>
        </w:rPr>
        <w:t>appropriate support</w:t>
      </w:r>
      <w:r w:rsidRPr="6F8CC60A" w:rsidR="00ACCED7">
        <w:rPr>
          <w:rFonts w:ascii="Aptos Display" w:hAnsi="Aptos Display" w:eastAsia="Aptos Display" w:cs="Aptos Display" w:asciiTheme="majorAscii" w:hAnsiTheme="majorAscii" w:eastAsiaTheme="majorAscii" w:cstheme="majorAscii"/>
          <w:sz w:val="22"/>
          <w:szCs w:val="22"/>
        </w:rPr>
        <w:t xml:space="preserve"> (including a guarantee) from the Financially Responsible Party as a condition of shortlisting.</w:t>
      </w:r>
    </w:p>
    <w:p w:rsidR="00F27320" w:rsidP="6F8CC60A" w:rsidRDefault="00F27320" w14:paraId="48D230CD" w14:textId="77777777">
      <w:pPr>
        <w:spacing w:after="0" w:line="240" w:lineRule="auto"/>
        <w:rPr>
          <w:rFonts w:ascii="Aptos Display" w:hAnsi="Aptos Display" w:eastAsia="Aptos Display" w:cs="Aptos Display" w:asciiTheme="majorAscii" w:hAnsiTheme="majorAscii" w:eastAsiaTheme="majorAscii" w:cstheme="majorAscii"/>
          <w:b w:val="1"/>
          <w:bCs w:val="1"/>
          <w:sz w:val="22"/>
          <w:szCs w:val="22"/>
        </w:rPr>
      </w:pPr>
    </w:p>
    <w:p w:rsidR="00F27320" w:rsidP="6F8CC60A" w:rsidRDefault="00F27320" w14:paraId="78FDE179" w14:textId="77777777">
      <w:pPr>
        <w:spacing w:after="0" w:line="240" w:lineRule="auto"/>
        <w:rPr>
          <w:rFonts w:ascii="Aptos Display" w:hAnsi="Aptos Display" w:eastAsia="Aptos Display" w:cs="Aptos Display" w:asciiTheme="majorAscii" w:hAnsiTheme="majorAscii" w:eastAsiaTheme="majorAscii" w:cstheme="majorAscii"/>
          <w:sz w:val="22"/>
          <w:szCs w:val="22"/>
        </w:rPr>
      </w:pPr>
    </w:p>
    <w:sectPr w:rsidR="00F2732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4335"/>
    <w:multiLevelType w:val="hybridMultilevel"/>
    <w:tmpl w:val="F1A6F8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2C2189"/>
    <w:multiLevelType w:val="singleLevel"/>
    <w:tmpl w:val="93080FDC"/>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2" w15:restartNumberingAfterBreak="0">
    <w:nsid w:val="39291FB0"/>
    <w:multiLevelType w:val="singleLevel"/>
    <w:tmpl w:val="E846879E"/>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3" w15:restartNumberingAfterBreak="0">
    <w:nsid w:val="3C9F6D42"/>
    <w:multiLevelType w:val="singleLevel"/>
    <w:tmpl w:val="DE4EDF38"/>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4" w15:restartNumberingAfterBreak="0">
    <w:nsid w:val="46D47149"/>
    <w:multiLevelType w:val="multilevel"/>
    <w:tmpl w:val="407C616A"/>
    <w:lvl w:ilvl="0">
      <w:start w:val="1"/>
      <w:numFmt w:val="decimal"/>
      <w:lvlText w:val="%1"/>
      <w:lvlJc w:val="left"/>
      <w:pPr>
        <w:tabs>
          <w:tab w:val="num" w:pos="340"/>
        </w:tabs>
        <w:ind w:left="340" w:hanging="340"/>
      </w:pPr>
      <w:rPr>
        <w:rFonts w:hint="default" w:ascii="9999999" w:hAnsi="9999999"/>
      </w:rPr>
    </w:lvl>
    <w:lvl w:ilvl="1">
      <w:start w:val="1"/>
      <w:numFmt w:val="lowerLetter"/>
      <w:lvlText w:val="%2)"/>
      <w:lvlJc w:val="left"/>
      <w:pPr>
        <w:tabs>
          <w:tab w:val="num" w:pos="680"/>
        </w:tabs>
        <w:ind w:left="680" w:hanging="340"/>
      </w:pPr>
      <w:rPr>
        <w:rFonts w:hint="default"/>
        <w:sz w:val="22"/>
      </w:rPr>
    </w:lvl>
    <w:lvl w:ilvl="2">
      <w:start w:val="1"/>
      <w:numFmt w:val="bullet"/>
      <w:lvlText w:val="-"/>
      <w:lvlJc w:val="left"/>
      <w:pPr>
        <w:tabs>
          <w:tab w:val="num" w:pos="1020"/>
        </w:tabs>
        <w:ind w:left="1020" w:hanging="340"/>
      </w:pPr>
      <w:rPr>
        <w:rFonts w:hint="default" w:ascii="9999999" w:hAnsi="9999999"/>
      </w:rPr>
    </w:lvl>
    <w:lvl w:ilvl="3">
      <w:start w:val="1"/>
      <w:numFmt w:val="bullet"/>
      <w:lvlText w:val=""/>
      <w:lvlJc w:val="left"/>
      <w:pPr>
        <w:tabs>
          <w:tab w:val="num" w:pos="1361"/>
        </w:tabs>
        <w:ind w:left="1361" w:hanging="341"/>
      </w:pPr>
      <w:rPr>
        <w:rFonts w:hint="default" w:ascii="Symbol" w:hAnsi="Symbol"/>
        <w:sz w:val="22"/>
      </w:rPr>
    </w:lvl>
    <w:lvl w:ilvl="4">
      <w:start w:val="1"/>
      <w:numFmt w:val="bullet"/>
      <w:lvlText w:val=""/>
      <w:lvlJc w:val="left"/>
      <w:pPr>
        <w:tabs>
          <w:tab w:val="num" w:pos="1701"/>
        </w:tabs>
        <w:ind w:left="1701" w:hanging="340"/>
      </w:pPr>
      <w:rPr>
        <w:rFonts w:hint="default" w:ascii="Symbol" w:hAnsi="Symbol"/>
      </w:rPr>
    </w:lvl>
    <w:lvl w:ilvl="5">
      <w:start w:val="1"/>
      <w:numFmt w:val="bullet"/>
      <w:lvlText w:val=""/>
      <w:lvlJc w:val="left"/>
      <w:pPr>
        <w:tabs>
          <w:tab w:val="num" w:pos="2041"/>
        </w:tabs>
        <w:ind w:left="2041" w:hanging="340"/>
      </w:pPr>
      <w:rPr>
        <w:rFonts w:hint="default" w:ascii="Wingdings" w:hAnsi="Wingdings"/>
      </w:rPr>
    </w:lvl>
    <w:lvl w:ilvl="6">
      <w:start w:val="1"/>
      <w:numFmt w:val="bullet"/>
      <w:lvlText w:val=""/>
      <w:lvlJc w:val="left"/>
      <w:pPr>
        <w:tabs>
          <w:tab w:val="num" w:pos="2381"/>
        </w:tabs>
        <w:ind w:left="2381" w:hanging="340"/>
      </w:pPr>
      <w:rPr>
        <w:rFonts w:hint="default" w:ascii="Wingdings" w:hAnsi="Wingdings"/>
      </w:rPr>
    </w:lvl>
    <w:lvl w:ilvl="7">
      <w:start w:val="1"/>
      <w:numFmt w:val="bullet"/>
      <w:lvlText w:val=""/>
      <w:lvlJc w:val="left"/>
      <w:pPr>
        <w:tabs>
          <w:tab w:val="num" w:pos="2721"/>
        </w:tabs>
        <w:ind w:left="2721" w:hanging="340"/>
      </w:pPr>
      <w:rPr>
        <w:rFonts w:hint="default" w:ascii="Symbol" w:hAnsi="Symbol"/>
      </w:rPr>
    </w:lvl>
    <w:lvl w:ilvl="8">
      <w:start w:val="1"/>
      <w:numFmt w:val="bullet"/>
      <w:lvlText w:val=""/>
      <w:lvlJc w:val="left"/>
      <w:pPr>
        <w:tabs>
          <w:tab w:val="num" w:pos="3061"/>
        </w:tabs>
        <w:ind w:left="3061" w:hanging="340"/>
      </w:pPr>
      <w:rPr>
        <w:rFonts w:hint="default" w:ascii="Symbol" w:hAnsi="Symbol"/>
      </w:rPr>
    </w:lvl>
  </w:abstractNum>
  <w:abstractNum w:abstractNumId="5" w15:restartNumberingAfterBreak="0">
    <w:nsid w:val="54FC138F"/>
    <w:multiLevelType w:val="singleLevel"/>
    <w:tmpl w:val="56ECEC62"/>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6" w15:restartNumberingAfterBreak="0">
    <w:nsid w:val="588951FF"/>
    <w:multiLevelType w:val="singleLevel"/>
    <w:tmpl w:val="C5A84142"/>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7" w15:restartNumberingAfterBreak="0">
    <w:nsid w:val="59D04503"/>
    <w:multiLevelType w:val="singleLevel"/>
    <w:tmpl w:val="495EFEC8"/>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8" w15:restartNumberingAfterBreak="0">
    <w:nsid w:val="5FD235E5"/>
    <w:multiLevelType w:val="singleLevel"/>
    <w:tmpl w:val="F398BE2C"/>
    <w:lvl w:ilvl="0">
      <w:start w:val="1"/>
      <w:numFmt w:val="bullet"/>
      <w:lvlText w:val="•"/>
      <w:lvlJc w:val="left"/>
      <w:pPr>
        <w:tabs>
          <w:tab w:val="num" w:pos="340"/>
        </w:tabs>
        <w:ind w:left="340" w:hanging="340"/>
      </w:pPr>
      <w:rPr>
        <w:rFonts w:hint="default" w:ascii="Arial" w:hAnsi="Arial" w:cs="Arial"/>
        <w:color w:val="auto"/>
        <w:sz w:val="24"/>
      </w:rPr>
    </w:lvl>
  </w:abstractNum>
  <w:num w:numId="1" w16cid:durableId="538081880">
    <w:abstractNumId w:val="4"/>
  </w:num>
  <w:num w:numId="2" w16cid:durableId="964851898">
    <w:abstractNumId w:val="7"/>
  </w:num>
  <w:num w:numId="3" w16cid:durableId="1911766025">
    <w:abstractNumId w:val="5"/>
  </w:num>
  <w:num w:numId="4" w16cid:durableId="1038287178">
    <w:abstractNumId w:val="1"/>
  </w:num>
  <w:num w:numId="5" w16cid:durableId="1691180941">
    <w:abstractNumId w:val="8"/>
  </w:num>
  <w:num w:numId="6" w16cid:durableId="1462647312">
    <w:abstractNumId w:val="2"/>
  </w:num>
  <w:num w:numId="7" w16cid:durableId="213389180">
    <w:abstractNumId w:val="3"/>
  </w:num>
  <w:num w:numId="8" w16cid:durableId="1790202503">
    <w:abstractNumId w:val="6"/>
  </w:num>
  <w:num w:numId="9" w16cid:durableId="194140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C2"/>
    <w:rsid w:val="0002441C"/>
    <w:rsid w:val="00076A98"/>
    <w:rsid w:val="000853D8"/>
    <w:rsid w:val="00127331"/>
    <w:rsid w:val="001325A6"/>
    <w:rsid w:val="001F0A06"/>
    <w:rsid w:val="001F2604"/>
    <w:rsid w:val="001F5190"/>
    <w:rsid w:val="002073B1"/>
    <w:rsid w:val="0021692E"/>
    <w:rsid w:val="00272F15"/>
    <w:rsid w:val="002C72A1"/>
    <w:rsid w:val="002D56A2"/>
    <w:rsid w:val="003462F9"/>
    <w:rsid w:val="00363A10"/>
    <w:rsid w:val="00402BA4"/>
    <w:rsid w:val="00422F3C"/>
    <w:rsid w:val="00564076"/>
    <w:rsid w:val="005813D8"/>
    <w:rsid w:val="00625FD1"/>
    <w:rsid w:val="006802E9"/>
    <w:rsid w:val="006A3CC2"/>
    <w:rsid w:val="006A3E4F"/>
    <w:rsid w:val="0074452E"/>
    <w:rsid w:val="007B3887"/>
    <w:rsid w:val="008032DE"/>
    <w:rsid w:val="0088643B"/>
    <w:rsid w:val="009056B0"/>
    <w:rsid w:val="00914181"/>
    <w:rsid w:val="00964057"/>
    <w:rsid w:val="009902C2"/>
    <w:rsid w:val="009C383A"/>
    <w:rsid w:val="00A219E8"/>
    <w:rsid w:val="00AB2E40"/>
    <w:rsid w:val="00ACCED7"/>
    <w:rsid w:val="00B157FF"/>
    <w:rsid w:val="00B450A5"/>
    <w:rsid w:val="00B47D66"/>
    <w:rsid w:val="00B70E49"/>
    <w:rsid w:val="00BA210B"/>
    <w:rsid w:val="00BA4785"/>
    <w:rsid w:val="00BC1D02"/>
    <w:rsid w:val="00C6272E"/>
    <w:rsid w:val="00C94C23"/>
    <w:rsid w:val="00CE4AC2"/>
    <w:rsid w:val="00D14093"/>
    <w:rsid w:val="00D35498"/>
    <w:rsid w:val="00DC7AF7"/>
    <w:rsid w:val="00DF79E4"/>
    <w:rsid w:val="00E20F5E"/>
    <w:rsid w:val="00E30445"/>
    <w:rsid w:val="00E473C6"/>
    <w:rsid w:val="00E60125"/>
    <w:rsid w:val="00EC4E5F"/>
    <w:rsid w:val="00F02356"/>
    <w:rsid w:val="00F17503"/>
    <w:rsid w:val="00F27320"/>
    <w:rsid w:val="00F364BD"/>
    <w:rsid w:val="00F959EF"/>
    <w:rsid w:val="00FB166B"/>
    <w:rsid w:val="00FC1304"/>
    <w:rsid w:val="01AB588C"/>
    <w:rsid w:val="04A1DA04"/>
    <w:rsid w:val="05717539"/>
    <w:rsid w:val="0CB4761F"/>
    <w:rsid w:val="0D9656A0"/>
    <w:rsid w:val="155A4516"/>
    <w:rsid w:val="18C9D4B8"/>
    <w:rsid w:val="199CF4D8"/>
    <w:rsid w:val="20300ECE"/>
    <w:rsid w:val="29F991FB"/>
    <w:rsid w:val="2F5AC664"/>
    <w:rsid w:val="36B74EBC"/>
    <w:rsid w:val="3F277FF7"/>
    <w:rsid w:val="3F80C02C"/>
    <w:rsid w:val="41583426"/>
    <w:rsid w:val="43007D29"/>
    <w:rsid w:val="48278F05"/>
    <w:rsid w:val="5AC504B0"/>
    <w:rsid w:val="6017448F"/>
    <w:rsid w:val="6840C078"/>
    <w:rsid w:val="69A8C243"/>
    <w:rsid w:val="6F8CC60A"/>
    <w:rsid w:val="784E0EEE"/>
    <w:rsid w:val="7981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0327"/>
  <w15:chartTrackingRefBased/>
  <w15:docId w15:val="{5BAB5589-109F-4D77-8F4D-29C6261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E4AC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AC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AC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4AC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E4AC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E4AC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E4AC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E4AC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E4AC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4AC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4AC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4AC2"/>
    <w:rPr>
      <w:rFonts w:eastAsiaTheme="majorEastAsia" w:cstheme="majorBidi"/>
      <w:color w:val="272727" w:themeColor="text1" w:themeTint="D8"/>
    </w:rPr>
  </w:style>
  <w:style w:type="paragraph" w:styleId="Title">
    <w:name w:val="Title"/>
    <w:basedOn w:val="Normal"/>
    <w:next w:val="Normal"/>
    <w:link w:val="TitleChar"/>
    <w:uiPriority w:val="10"/>
    <w:qFormat/>
    <w:rsid w:val="00CE4AC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4AC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4AC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E4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AC2"/>
    <w:pPr>
      <w:spacing w:before="160"/>
      <w:jc w:val="center"/>
    </w:pPr>
    <w:rPr>
      <w:i/>
      <w:iCs/>
      <w:color w:val="404040" w:themeColor="text1" w:themeTint="BF"/>
    </w:rPr>
  </w:style>
  <w:style w:type="character" w:styleId="QuoteChar" w:customStyle="1">
    <w:name w:val="Quote Char"/>
    <w:basedOn w:val="DefaultParagraphFont"/>
    <w:link w:val="Quote"/>
    <w:uiPriority w:val="29"/>
    <w:rsid w:val="00CE4AC2"/>
    <w:rPr>
      <w:i/>
      <w:iCs/>
      <w:color w:val="404040" w:themeColor="text1" w:themeTint="BF"/>
    </w:rPr>
  </w:style>
  <w:style w:type="paragraph" w:styleId="ListParagraph">
    <w:name w:val="List Paragraph"/>
    <w:basedOn w:val="Normal"/>
    <w:uiPriority w:val="1"/>
    <w:qFormat/>
    <w:rsid w:val="00CE4AC2"/>
    <w:pPr>
      <w:ind w:left="720"/>
      <w:contextualSpacing/>
    </w:pPr>
  </w:style>
  <w:style w:type="character" w:styleId="IntenseEmphasis">
    <w:name w:val="Intense Emphasis"/>
    <w:basedOn w:val="DefaultParagraphFont"/>
    <w:uiPriority w:val="21"/>
    <w:qFormat/>
    <w:rsid w:val="00CE4AC2"/>
    <w:rPr>
      <w:i/>
      <w:iCs/>
      <w:color w:val="0F4761" w:themeColor="accent1" w:themeShade="BF"/>
    </w:rPr>
  </w:style>
  <w:style w:type="paragraph" w:styleId="IntenseQuote">
    <w:name w:val="Intense Quote"/>
    <w:basedOn w:val="Normal"/>
    <w:next w:val="Normal"/>
    <w:link w:val="IntenseQuoteChar"/>
    <w:uiPriority w:val="30"/>
    <w:qFormat/>
    <w:rsid w:val="00CE4AC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E4AC2"/>
    <w:rPr>
      <w:i/>
      <w:iCs/>
      <w:color w:val="0F4761" w:themeColor="accent1" w:themeShade="BF"/>
    </w:rPr>
  </w:style>
  <w:style w:type="character" w:styleId="IntenseReference">
    <w:name w:val="Intense Reference"/>
    <w:basedOn w:val="DefaultParagraphFont"/>
    <w:uiPriority w:val="32"/>
    <w:qFormat/>
    <w:rsid w:val="00CE4AC2"/>
    <w:rPr>
      <w:b/>
      <w:bCs/>
      <w:smallCaps/>
      <w:color w:val="0F4761" w:themeColor="accent1" w:themeShade="BF"/>
      <w:spacing w:val="5"/>
    </w:rPr>
  </w:style>
  <w:style w:type="character" w:styleId="CommentReference">
    <w:name w:val="annotation reference"/>
    <w:basedOn w:val="DefaultParagraphFont"/>
    <w:uiPriority w:val="99"/>
    <w:semiHidden/>
    <w:unhideWhenUsed/>
    <w:rsid w:val="00422F3C"/>
    <w:rPr>
      <w:sz w:val="16"/>
      <w:szCs w:val="16"/>
    </w:rPr>
  </w:style>
  <w:style w:type="paragraph" w:styleId="CommentText">
    <w:name w:val="annotation text"/>
    <w:basedOn w:val="Normal"/>
    <w:link w:val="CommentTextChar"/>
    <w:uiPriority w:val="99"/>
    <w:unhideWhenUsed/>
    <w:rsid w:val="00422F3C"/>
    <w:pPr>
      <w:spacing w:line="240" w:lineRule="auto"/>
    </w:pPr>
    <w:rPr>
      <w:sz w:val="20"/>
      <w:szCs w:val="20"/>
    </w:rPr>
  </w:style>
  <w:style w:type="character" w:styleId="CommentTextChar" w:customStyle="1">
    <w:name w:val="Comment Text Char"/>
    <w:basedOn w:val="DefaultParagraphFont"/>
    <w:link w:val="CommentText"/>
    <w:uiPriority w:val="99"/>
    <w:rsid w:val="00422F3C"/>
    <w:rPr>
      <w:sz w:val="20"/>
      <w:szCs w:val="20"/>
    </w:rPr>
  </w:style>
  <w:style w:type="paragraph" w:styleId="CommentSubject">
    <w:name w:val="annotation subject"/>
    <w:basedOn w:val="CommentText"/>
    <w:next w:val="CommentText"/>
    <w:link w:val="CommentSubjectChar"/>
    <w:uiPriority w:val="99"/>
    <w:semiHidden/>
    <w:unhideWhenUsed/>
    <w:rsid w:val="00422F3C"/>
    <w:rPr>
      <w:b/>
      <w:bCs/>
    </w:rPr>
  </w:style>
  <w:style w:type="character" w:styleId="CommentSubjectChar" w:customStyle="1">
    <w:name w:val="Comment Subject Char"/>
    <w:basedOn w:val="CommentTextChar"/>
    <w:link w:val="CommentSubject"/>
    <w:uiPriority w:val="99"/>
    <w:semiHidden/>
    <w:rsid w:val="00422F3C"/>
    <w:rPr>
      <w:b/>
      <w:bCs/>
      <w:sz w:val="20"/>
      <w:szCs w:val="20"/>
    </w:rPr>
  </w:style>
  <w:style w:type="paragraph" w:styleId="Revision">
    <w:name w:val="Revision"/>
    <w:hidden/>
    <w:uiPriority w:val="99"/>
    <w:semiHidden/>
    <w:rsid w:val="00F17503"/>
    <w:pPr>
      <w:spacing w:after="0" w:line="240" w:lineRule="auto"/>
    </w:pPr>
  </w:style>
  <w:style w:type="paragraph" w:styleId="paragraph" w:customStyle="1">
    <w:name w:val="paragraph"/>
    <w:basedOn w:val="Normal"/>
    <w:rsid w:val="00BA4785"/>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BA4785"/>
  </w:style>
  <w:style w:type="character" w:styleId="eop" w:customStyle="1">
    <w:name w:val="eop"/>
    <w:basedOn w:val="DefaultParagraphFont"/>
    <w:rsid w:val="00BA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b59798-d020-4a1d-91a6-389b5ff9d533" xsi:nil="true"/>
    <lcf76f155ced4ddcb4097134ff3c332f xmlns="c3da4077-3ffa-43d3-aff3-3a5d1278c8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203CF470C9C46B56D993BD6387502" ma:contentTypeVersion="13" ma:contentTypeDescription="Create a new document." ma:contentTypeScope="" ma:versionID="759a65c19d0aa9400ce94864c0acdab4">
  <xsd:schema xmlns:xsd="http://www.w3.org/2001/XMLSchema" xmlns:xs="http://www.w3.org/2001/XMLSchema" xmlns:p="http://schemas.microsoft.com/office/2006/metadata/properties" xmlns:ns2="c3da4077-3ffa-43d3-aff3-3a5d1278c8e5" xmlns:ns3="e0b59798-d020-4a1d-91a6-389b5ff9d533" targetNamespace="http://schemas.microsoft.com/office/2006/metadata/properties" ma:root="true" ma:fieldsID="5f618ccf5accd9d447061ec1c58201d3" ns2:_="" ns3:_="">
    <xsd:import namespace="c3da4077-3ffa-43d3-aff3-3a5d1278c8e5"/>
    <xsd:import namespace="e0b59798-d020-4a1d-91a6-389b5ff9d5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4077-3ffa-43d3-aff3-3a5d1278c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89d7a8-8c90-480e-9c20-2ee0b50f2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59798-d020-4a1d-91a6-389b5ff9d5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5b4fc4-753f-4245-95c9-28fd487a1aae}" ma:internalName="TaxCatchAll" ma:showField="CatchAllData" ma:web="e0b59798-d020-4a1d-91a6-389b5ff9d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4BC96-CD57-4725-A680-B637C26E5622}">
  <ds:schemaRefs>
    <ds:schemaRef ds:uri="http://schemas.microsoft.com/sharepoint/v3/contenttype/forms"/>
  </ds:schemaRefs>
</ds:datastoreItem>
</file>

<file path=customXml/itemProps2.xml><?xml version="1.0" encoding="utf-8"?>
<ds:datastoreItem xmlns:ds="http://schemas.openxmlformats.org/officeDocument/2006/customXml" ds:itemID="{C69FD55C-3DEC-4A4D-ADB7-5BD06DF51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1F114-63E9-45F5-B97D-357AA4D48370}"/>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KPMG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Wilson, Lauren N</dc:creator>
  <keywords/>
  <dc:description/>
  <lastModifiedBy>Larynette Hinds</lastModifiedBy>
  <revision>5</revision>
  <dcterms:created xsi:type="dcterms:W3CDTF">2025-12-16T22:45:00.0000000Z</dcterms:created>
  <dcterms:modified xsi:type="dcterms:W3CDTF">2026-01-20T17:08:46.9021715Z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0x0101000B3203CF470C9C46B56D993BD6387502</vt:lpwstr>
  </property>
  <property fmtid="{D5CDD505-2E9C-101B-9397-08002B2CF9AE}" pid="3" name="MediaServiceImageTags">
    <vt:lpwstr/>
  </property>
</Properties>
</file>